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A6" w:rsidRDefault="004F43A6" w:rsidP="000A0293">
      <w:pPr>
        <w:spacing w:before="100" w:beforeAutospacing="1" w:after="100" w:afterAutospacing="1" w:line="240" w:lineRule="auto"/>
        <w:jc w:val="both"/>
        <w:rPr>
          <w:rFonts w:ascii="Cambria" w:hAnsi="Cambria" w:cs="Cambria"/>
          <w:color w:val="000000"/>
        </w:rPr>
      </w:pPr>
      <w:r w:rsidRPr="004F43A6">
        <w:rPr>
          <w:rFonts w:ascii="Cambria" w:hAnsi="Cambria" w:cs="Cambria"/>
          <w:b/>
          <w:color w:val="000000"/>
        </w:rPr>
        <w:t>General Information:</w:t>
      </w:r>
      <w:r w:rsidRPr="004F43A6">
        <w:rPr>
          <w:rFonts w:ascii="Cambria" w:hAnsi="Cambria" w:cs="Cambria"/>
          <w:color w:val="000000"/>
        </w:rPr>
        <w:t xml:space="preserve"> Georgia is situated on crossroads of Europe and Asia where east meets west, between the Black and Caspian Sea, to the south of the Great Caucasus Range. It shares borders with the Russian Federation to the north, Turkey and Armenia in the south and Azerbaijan in the east. Georgia has a population of 4.6 million and occupies an area of 69,7 thousand sq/km, which is distinguished by diverse climates and geography.</w:t>
      </w:r>
    </w:p>
    <w:p w:rsidR="004F43A6" w:rsidRDefault="004F43A6" w:rsidP="000A0293">
      <w:pPr>
        <w:spacing w:before="100" w:beforeAutospacing="1" w:after="100" w:afterAutospacing="1" w:line="240" w:lineRule="auto"/>
        <w:jc w:val="both"/>
        <w:rPr>
          <w:rFonts w:ascii="Cambria" w:hAnsi="Cambria" w:cs="Cambria"/>
          <w:color w:val="000000"/>
        </w:rPr>
      </w:pPr>
      <w:r w:rsidRPr="004F43A6">
        <w:rPr>
          <w:rFonts w:ascii="Cambria" w:hAnsi="Cambria" w:cs="Cambria"/>
          <w:b/>
          <w:color w:val="000000"/>
        </w:rPr>
        <w:t>Climate:</w:t>
      </w:r>
      <w:r w:rsidRPr="004F43A6">
        <w:rPr>
          <w:rFonts w:ascii="Cambria" w:hAnsi="Cambria" w:cs="Cambria"/>
          <w:color w:val="000000"/>
        </w:rPr>
        <w:t xml:space="preserve"> Climatic zones range from the heat of the subtropics to the eternal snow peaks of the mountains, from a moderately humid Mediterranean-type climate to a dry continental climate. In the lowlands, the summers are hot and winters are moderate. The average summer temperatures range from 250C to 280C, average winter temperatures range from 20C to 40C.</w:t>
      </w:r>
    </w:p>
    <w:p w:rsidR="004F43A6" w:rsidRPr="00597296" w:rsidRDefault="004F43A6" w:rsidP="000A0293">
      <w:pPr>
        <w:spacing w:before="100" w:beforeAutospacing="1" w:after="100" w:afterAutospacing="1" w:line="240" w:lineRule="auto"/>
        <w:jc w:val="both"/>
        <w:rPr>
          <w:rFonts w:ascii="Cambria" w:hAnsi="Cambria" w:cs="Cambria"/>
          <w:color w:val="000000"/>
        </w:rPr>
      </w:pPr>
      <w:r w:rsidRPr="00597296">
        <w:rPr>
          <w:rFonts w:ascii="Cambria" w:hAnsi="Cambria" w:cs="Cambria"/>
          <w:b/>
          <w:color w:val="000000"/>
        </w:rPr>
        <w:t>Time Zone:</w:t>
      </w:r>
      <w:r w:rsidRPr="00597296">
        <w:rPr>
          <w:rFonts w:ascii="Cambria" w:hAnsi="Cambria" w:cs="Cambria"/>
          <w:color w:val="000000"/>
        </w:rPr>
        <w:t xml:space="preserve"> GMT + 4:00 </w:t>
      </w:r>
    </w:p>
    <w:p w:rsidR="004F43A6" w:rsidRDefault="004F43A6" w:rsidP="000A0293">
      <w:pPr>
        <w:spacing w:before="100" w:beforeAutospacing="1" w:after="100" w:afterAutospacing="1" w:line="240" w:lineRule="auto"/>
        <w:jc w:val="both"/>
      </w:pPr>
      <w:r w:rsidRPr="00597296">
        <w:rPr>
          <w:rFonts w:ascii="Cambria" w:hAnsi="Cambria" w:cs="Cambria"/>
          <w:b/>
          <w:color w:val="000000"/>
        </w:rPr>
        <w:t>Population:</w:t>
      </w:r>
      <w:r w:rsidRPr="00597296">
        <w:rPr>
          <w:rFonts w:ascii="Cambria" w:hAnsi="Cambria" w:cs="Cambria"/>
          <w:color w:val="000000"/>
        </w:rPr>
        <w:t xml:space="preserve">  4.3 million, Georgians – 70%, Armenians – 8%, Azeris – 6%, Russians – 5%, Greeks – 2%. </w:t>
      </w:r>
    </w:p>
    <w:p w:rsidR="00597296" w:rsidRDefault="00597296" w:rsidP="000A0293">
      <w:pPr>
        <w:pStyle w:val="Default"/>
        <w:spacing w:after="240"/>
        <w:jc w:val="both"/>
        <w:rPr>
          <w:sz w:val="22"/>
          <w:szCs w:val="22"/>
        </w:rPr>
      </w:pPr>
      <w:r>
        <w:rPr>
          <w:b/>
          <w:bCs/>
          <w:sz w:val="22"/>
          <w:szCs w:val="22"/>
        </w:rPr>
        <w:t>Capital:</w:t>
      </w:r>
      <w:r>
        <w:rPr>
          <w:sz w:val="22"/>
          <w:szCs w:val="22"/>
        </w:rPr>
        <w:t xml:space="preserve"> Tbilisi, pop. 1.2 million </w:t>
      </w:r>
    </w:p>
    <w:p w:rsidR="00597296" w:rsidRPr="004A5227" w:rsidRDefault="00597296" w:rsidP="000A0293">
      <w:pPr>
        <w:pStyle w:val="Default"/>
        <w:spacing w:after="240"/>
        <w:jc w:val="both"/>
        <w:rPr>
          <w:sz w:val="22"/>
          <w:szCs w:val="22"/>
        </w:rPr>
      </w:pPr>
      <w:r w:rsidRPr="004A5227">
        <w:rPr>
          <w:b/>
          <w:bCs/>
          <w:sz w:val="22"/>
          <w:szCs w:val="22"/>
        </w:rPr>
        <w:t>Main Towns:</w:t>
      </w:r>
      <w:r w:rsidRPr="004A5227">
        <w:rPr>
          <w:sz w:val="22"/>
          <w:szCs w:val="22"/>
        </w:rPr>
        <w:t xml:space="preserve"> Kutaisi, Rustavi, Batumi, Gori,</w:t>
      </w:r>
      <w:r w:rsidR="00BB61B7">
        <w:rPr>
          <w:sz w:val="22"/>
          <w:szCs w:val="22"/>
        </w:rPr>
        <w:t xml:space="preserve"> Telavi,</w:t>
      </w:r>
      <w:r w:rsidRPr="004A5227">
        <w:rPr>
          <w:sz w:val="22"/>
          <w:szCs w:val="22"/>
        </w:rPr>
        <w:t xml:space="preserve"> Mskheta  </w:t>
      </w:r>
    </w:p>
    <w:p w:rsidR="00597296" w:rsidRDefault="00597296" w:rsidP="000A0293">
      <w:pPr>
        <w:pStyle w:val="Default"/>
        <w:spacing w:after="240"/>
        <w:jc w:val="both"/>
        <w:rPr>
          <w:sz w:val="22"/>
          <w:szCs w:val="22"/>
        </w:rPr>
      </w:pPr>
      <w:r>
        <w:rPr>
          <w:b/>
          <w:bCs/>
          <w:sz w:val="22"/>
          <w:szCs w:val="22"/>
        </w:rPr>
        <w:t>Language</w:t>
      </w:r>
      <w:r>
        <w:rPr>
          <w:sz w:val="22"/>
          <w:szCs w:val="22"/>
        </w:rPr>
        <w:t xml:space="preserve">: The official language is Georgian, which has its own alphabet. All signs and makers along the main road are written in both Georgian and Latin letters. Most people also speak Russian </w:t>
      </w:r>
    </w:p>
    <w:p w:rsidR="00597296" w:rsidRDefault="00597296" w:rsidP="000A0293">
      <w:pPr>
        <w:pStyle w:val="Default"/>
        <w:spacing w:after="240"/>
        <w:jc w:val="both"/>
        <w:rPr>
          <w:sz w:val="22"/>
          <w:szCs w:val="22"/>
        </w:rPr>
      </w:pPr>
      <w:r>
        <w:rPr>
          <w:b/>
          <w:bCs/>
          <w:sz w:val="22"/>
          <w:szCs w:val="22"/>
        </w:rPr>
        <w:t xml:space="preserve">Religion: </w:t>
      </w:r>
      <w:r>
        <w:rPr>
          <w:sz w:val="22"/>
          <w:szCs w:val="22"/>
        </w:rPr>
        <w:t xml:space="preserve">Georgian Orthodox (main), Catholic, Muslim, Armenian Gregorian, Jewish </w:t>
      </w:r>
    </w:p>
    <w:p w:rsidR="00B47F02" w:rsidRDefault="00B47F02" w:rsidP="00BB61B7">
      <w:pPr>
        <w:pStyle w:val="Default"/>
        <w:tabs>
          <w:tab w:val="left" w:pos="6237"/>
        </w:tabs>
        <w:jc w:val="both"/>
        <w:rPr>
          <w:sz w:val="22"/>
          <w:szCs w:val="22"/>
        </w:rPr>
      </w:pPr>
      <w:r>
        <w:rPr>
          <w:b/>
          <w:bCs/>
          <w:sz w:val="22"/>
          <w:szCs w:val="22"/>
        </w:rPr>
        <w:t>Travel documents:</w:t>
      </w:r>
      <w:r>
        <w:rPr>
          <w:sz w:val="22"/>
          <w:szCs w:val="22"/>
        </w:rPr>
        <w:t xml:space="preserve"> To travel to Georgia the residents of the </w:t>
      </w:r>
      <w:r w:rsidRPr="004F43A6">
        <w:rPr>
          <w:sz w:val="22"/>
          <w:szCs w:val="22"/>
        </w:rPr>
        <w:t>European Union, United States, Canada, Sw</w:t>
      </w:r>
      <w:r w:rsidRPr="004F43A6">
        <w:t>itzerland, United Arab Emirates</w:t>
      </w:r>
      <w:r>
        <w:t xml:space="preserve">, </w:t>
      </w:r>
      <w:r w:rsidRPr="00A741B5">
        <w:rPr>
          <w:sz w:val="22"/>
          <w:szCs w:val="22"/>
        </w:rPr>
        <w:t>Antigua and Barbuda</w:t>
      </w:r>
      <w:r w:rsidRPr="004F43A6">
        <w:rPr>
          <w:szCs w:val="22"/>
        </w:rPr>
        <w:t xml:space="preserve">, </w:t>
      </w:r>
      <w:r w:rsidRPr="00A741B5">
        <w:rPr>
          <w:sz w:val="22"/>
          <w:szCs w:val="22"/>
        </w:rPr>
        <w:t>Argentine Republic</w:t>
      </w:r>
      <w:r w:rsidRPr="004F43A6">
        <w:rPr>
          <w:szCs w:val="22"/>
        </w:rPr>
        <w:t xml:space="preserve">, </w:t>
      </w:r>
      <w:r w:rsidRPr="00A741B5">
        <w:rPr>
          <w:sz w:val="22"/>
          <w:szCs w:val="22"/>
        </w:rPr>
        <w:t>Barbados</w:t>
      </w:r>
      <w:r w:rsidRPr="004F43A6">
        <w:rPr>
          <w:szCs w:val="22"/>
        </w:rPr>
        <w:t xml:space="preserve">, </w:t>
      </w:r>
      <w:r w:rsidRPr="00A741B5">
        <w:rPr>
          <w:sz w:val="22"/>
          <w:szCs w:val="22"/>
        </w:rPr>
        <w:t>Belize</w:t>
      </w:r>
      <w:r w:rsidRPr="004F43A6">
        <w:rPr>
          <w:szCs w:val="22"/>
        </w:rPr>
        <w:t xml:space="preserve">, </w:t>
      </w:r>
      <w:r w:rsidRPr="00A741B5">
        <w:rPr>
          <w:sz w:val="22"/>
          <w:szCs w:val="22"/>
        </w:rPr>
        <w:t>Bosnia and Herzegovina</w:t>
      </w:r>
      <w:r w:rsidRPr="004F43A6">
        <w:rPr>
          <w:szCs w:val="22"/>
        </w:rPr>
        <w:t xml:space="preserve">, </w:t>
      </w:r>
      <w:r w:rsidRPr="00A741B5">
        <w:rPr>
          <w:sz w:val="22"/>
          <w:szCs w:val="22"/>
        </w:rPr>
        <w:t>Commonwealth of Australia</w:t>
      </w:r>
      <w:r w:rsidRPr="004F43A6">
        <w:rPr>
          <w:szCs w:val="22"/>
        </w:rPr>
        <w:t xml:space="preserve">, </w:t>
      </w:r>
      <w:r w:rsidRPr="00A741B5">
        <w:rPr>
          <w:sz w:val="22"/>
          <w:szCs w:val="22"/>
        </w:rPr>
        <w:t>Dominican Republic</w:t>
      </w:r>
      <w:r w:rsidRPr="004F43A6">
        <w:rPr>
          <w:szCs w:val="22"/>
        </w:rPr>
        <w:t xml:space="preserve">, </w:t>
      </w:r>
      <w:r w:rsidRPr="00A741B5">
        <w:rPr>
          <w:sz w:val="22"/>
          <w:szCs w:val="22"/>
        </w:rPr>
        <w:t>Commonwealth of the Bahamas</w:t>
      </w:r>
      <w:r w:rsidRPr="004F43A6">
        <w:rPr>
          <w:szCs w:val="22"/>
        </w:rPr>
        <w:t xml:space="preserve">, </w:t>
      </w:r>
      <w:r w:rsidRPr="00A741B5">
        <w:rPr>
          <w:sz w:val="22"/>
          <w:szCs w:val="22"/>
        </w:rPr>
        <w:t>Federative Republic of Brazil</w:t>
      </w:r>
      <w:r w:rsidRPr="004F43A6">
        <w:rPr>
          <w:szCs w:val="22"/>
        </w:rPr>
        <w:t xml:space="preserve">, </w:t>
      </w:r>
      <w:r w:rsidRPr="00A741B5">
        <w:rPr>
          <w:sz w:val="22"/>
          <w:szCs w:val="22"/>
        </w:rPr>
        <w:t>Hellenic Republic</w:t>
      </w:r>
      <w:r w:rsidRPr="004F43A6">
        <w:rPr>
          <w:szCs w:val="22"/>
        </w:rPr>
        <w:t xml:space="preserve">, </w:t>
      </w:r>
      <w:r w:rsidRPr="00A741B5">
        <w:rPr>
          <w:sz w:val="22"/>
          <w:szCs w:val="22"/>
        </w:rPr>
        <w:t>Holy See</w:t>
      </w:r>
      <w:r w:rsidRPr="004F43A6">
        <w:rPr>
          <w:szCs w:val="22"/>
        </w:rPr>
        <w:t xml:space="preserve">, </w:t>
      </w:r>
      <w:r w:rsidRPr="00A741B5">
        <w:rPr>
          <w:sz w:val="22"/>
          <w:szCs w:val="22"/>
        </w:rPr>
        <w:t>Iceland</w:t>
      </w:r>
      <w:r w:rsidRPr="004F43A6">
        <w:rPr>
          <w:szCs w:val="22"/>
        </w:rPr>
        <w:t xml:space="preserve">, Japan, </w:t>
      </w:r>
      <w:r w:rsidRPr="00A741B5">
        <w:rPr>
          <w:sz w:val="22"/>
          <w:szCs w:val="22"/>
        </w:rPr>
        <w:t>Kingdom of Bahrain</w:t>
      </w:r>
      <w:r w:rsidRPr="004F43A6">
        <w:rPr>
          <w:szCs w:val="22"/>
        </w:rPr>
        <w:t xml:space="preserve">, </w:t>
      </w:r>
      <w:r w:rsidRPr="00A741B5">
        <w:rPr>
          <w:sz w:val="22"/>
          <w:szCs w:val="22"/>
        </w:rPr>
        <w:t>Kingdom of Norway</w:t>
      </w:r>
      <w:r w:rsidRPr="004F43A6">
        <w:rPr>
          <w:szCs w:val="22"/>
        </w:rPr>
        <w:t xml:space="preserve">, </w:t>
      </w:r>
      <w:r w:rsidRPr="00A741B5">
        <w:rPr>
          <w:sz w:val="22"/>
          <w:szCs w:val="22"/>
        </w:rPr>
        <w:t>Kingdom of Saudi Arabia</w:t>
      </w:r>
      <w:r w:rsidRPr="004F43A6">
        <w:rPr>
          <w:szCs w:val="22"/>
        </w:rPr>
        <w:t xml:space="preserve">, </w:t>
      </w:r>
      <w:r w:rsidRPr="00A741B5">
        <w:rPr>
          <w:sz w:val="22"/>
          <w:szCs w:val="22"/>
        </w:rPr>
        <w:t>Kingdom of Thailand</w:t>
      </w:r>
      <w:r w:rsidRPr="004F43A6">
        <w:rPr>
          <w:szCs w:val="22"/>
        </w:rPr>
        <w:t xml:space="preserve">, </w:t>
      </w:r>
      <w:r w:rsidRPr="00A741B5">
        <w:rPr>
          <w:sz w:val="22"/>
          <w:szCs w:val="22"/>
        </w:rPr>
        <w:t>Kyrgyz Republic</w:t>
      </w:r>
      <w:r w:rsidRPr="004F43A6">
        <w:rPr>
          <w:szCs w:val="22"/>
        </w:rPr>
        <w:t xml:space="preserve">, </w:t>
      </w:r>
      <w:r w:rsidRPr="00A741B5">
        <w:rPr>
          <w:sz w:val="22"/>
          <w:szCs w:val="22"/>
        </w:rPr>
        <w:t>Lebanese Republic</w:t>
      </w:r>
      <w:r w:rsidRPr="004F43A6">
        <w:rPr>
          <w:szCs w:val="22"/>
        </w:rPr>
        <w:t xml:space="preserve">, </w:t>
      </w:r>
      <w:r w:rsidRPr="00A741B5">
        <w:rPr>
          <w:sz w:val="22"/>
          <w:szCs w:val="22"/>
        </w:rPr>
        <w:t>Malaysia</w:t>
      </w:r>
      <w:r w:rsidRPr="004F43A6">
        <w:rPr>
          <w:szCs w:val="22"/>
        </w:rPr>
        <w:t xml:space="preserve">, </w:t>
      </w:r>
      <w:r w:rsidRPr="00A741B5">
        <w:rPr>
          <w:sz w:val="22"/>
          <w:szCs w:val="22"/>
        </w:rPr>
        <w:t>Montenegro</w:t>
      </w:r>
      <w:r w:rsidRPr="004F43A6">
        <w:rPr>
          <w:szCs w:val="22"/>
        </w:rPr>
        <w:t xml:space="preserve">, </w:t>
      </w:r>
      <w:r w:rsidRPr="00A741B5">
        <w:rPr>
          <w:sz w:val="22"/>
          <w:szCs w:val="22"/>
        </w:rPr>
        <w:t>Nation of Brunei</w:t>
      </w:r>
      <w:r w:rsidRPr="004F43A6">
        <w:rPr>
          <w:szCs w:val="22"/>
        </w:rPr>
        <w:t xml:space="preserve">, </w:t>
      </w:r>
      <w:r w:rsidRPr="00A741B5">
        <w:rPr>
          <w:sz w:val="22"/>
          <w:szCs w:val="22"/>
        </w:rPr>
        <w:t>New Zealand</w:t>
      </w:r>
      <w:r w:rsidRPr="004F43A6">
        <w:rPr>
          <w:szCs w:val="22"/>
        </w:rPr>
        <w:t xml:space="preserve"> ,</w:t>
      </w:r>
      <w:r w:rsidRPr="00A741B5">
        <w:rPr>
          <w:sz w:val="22"/>
          <w:szCs w:val="22"/>
        </w:rPr>
        <w:t>Principality of  Liechtenstein</w:t>
      </w:r>
      <w:r w:rsidRPr="004F43A6">
        <w:rPr>
          <w:szCs w:val="22"/>
        </w:rPr>
        <w:t xml:space="preserve">, </w:t>
      </w:r>
      <w:r w:rsidRPr="00A741B5">
        <w:rPr>
          <w:sz w:val="22"/>
          <w:szCs w:val="22"/>
        </w:rPr>
        <w:t>Principality of Andorra</w:t>
      </w:r>
      <w:r w:rsidRPr="004F43A6">
        <w:rPr>
          <w:szCs w:val="22"/>
        </w:rPr>
        <w:t xml:space="preserve">, </w:t>
      </w:r>
      <w:r w:rsidRPr="00A741B5">
        <w:rPr>
          <w:sz w:val="22"/>
          <w:szCs w:val="22"/>
        </w:rPr>
        <w:t>Principality of Monaco</w:t>
      </w:r>
      <w:r w:rsidRPr="004F43A6">
        <w:rPr>
          <w:szCs w:val="22"/>
        </w:rPr>
        <w:t xml:space="preserve">, </w:t>
      </w:r>
      <w:r w:rsidRPr="00A741B5">
        <w:rPr>
          <w:sz w:val="22"/>
          <w:szCs w:val="22"/>
        </w:rPr>
        <w:t>Republic of  Korea</w:t>
      </w:r>
      <w:r w:rsidRPr="004F43A6">
        <w:rPr>
          <w:szCs w:val="22"/>
        </w:rPr>
        <w:t xml:space="preserve">, </w:t>
      </w:r>
      <w:r w:rsidRPr="00A741B5">
        <w:rPr>
          <w:sz w:val="22"/>
          <w:szCs w:val="22"/>
        </w:rPr>
        <w:t>Republic of Albania</w:t>
      </w:r>
      <w:r w:rsidRPr="004F43A6">
        <w:rPr>
          <w:szCs w:val="22"/>
        </w:rPr>
        <w:t xml:space="preserve">, </w:t>
      </w:r>
      <w:r w:rsidRPr="00A741B5">
        <w:rPr>
          <w:sz w:val="22"/>
          <w:szCs w:val="22"/>
        </w:rPr>
        <w:t>Republic of Armenia</w:t>
      </w:r>
      <w:r w:rsidRPr="004F43A6">
        <w:rPr>
          <w:szCs w:val="22"/>
        </w:rPr>
        <w:t xml:space="preserve">, </w:t>
      </w:r>
      <w:r w:rsidRPr="00A741B5">
        <w:rPr>
          <w:sz w:val="22"/>
          <w:szCs w:val="22"/>
        </w:rPr>
        <w:t>Republic of Azerbaijan</w:t>
      </w:r>
      <w:r w:rsidRPr="004F43A6">
        <w:rPr>
          <w:szCs w:val="22"/>
        </w:rPr>
        <w:t xml:space="preserve">, </w:t>
      </w:r>
      <w:r w:rsidRPr="00A741B5">
        <w:rPr>
          <w:sz w:val="22"/>
          <w:szCs w:val="22"/>
        </w:rPr>
        <w:t>Republic of Belarus</w:t>
      </w:r>
      <w:r w:rsidRPr="004F43A6">
        <w:rPr>
          <w:szCs w:val="22"/>
        </w:rPr>
        <w:t xml:space="preserve">, </w:t>
      </w:r>
      <w:r w:rsidRPr="00A741B5">
        <w:rPr>
          <w:sz w:val="22"/>
          <w:szCs w:val="22"/>
        </w:rPr>
        <w:t>Republic of Botswana</w:t>
      </w:r>
      <w:r w:rsidRPr="004F43A6">
        <w:rPr>
          <w:szCs w:val="22"/>
        </w:rPr>
        <w:t xml:space="preserve"> ,</w:t>
      </w:r>
      <w:r w:rsidRPr="00A741B5">
        <w:rPr>
          <w:sz w:val="22"/>
          <w:szCs w:val="22"/>
        </w:rPr>
        <w:t>Republic of Colombia</w:t>
      </w:r>
      <w:r w:rsidRPr="004F43A6">
        <w:rPr>
          <w:szCs w:val="22"/>
        </w:rPr>
        <w:t xml:space="preserve">, </w:t>
      </w:r>
      <w:r w:rsidRPr="00A741B5">
        <w:rPr>
          <w:sz w:val="22"/>
          <w:szCs w:val="22"/>
        </w:rPr>
        <w:t>Republic of Costa Rica</w:t>
      </w:r>
      <w:r w:rsidRPr="004F43A6">
        <w:rPr>
          <w:szCs w:val="22"/>
        </w:rPr>
        <w:t xml:space="preserve"> ,</w:t>
      </w:r>
      <w:r w:rsidRPr="00A741B5">
        <w:rPr>
          <w:sz w:val="22"/>
          <w:szCs w:val="22"/>
        </w:rPr>
        <w:t>Republic of Ecuador</w:t>
      </w:r>
      <w:r w:rsidRPr="004F43A6">
        <w:rPr>
          <w:szCs w:val="22"/>
        </w:rPr>
        <w:t xml:space="preserve">, </w:t>
      </w:r>
      <w:r w:rsidRPr="00A741B5">
        <w:rPr>
          <w:sz w:val="22"/>
          <w:szCs w:val="22"/>
        </w:rPr>
        <w:t>Republic of El Salvador</w:t>
      </w:r>
      <w:r w:rsidRPr="004F43A6">
        <w:rPr>
          <w:szCs w:val="22"/>
        </w:rPr>
        <w:t xml:space="preserve">, </w:t>
      </w:r>
      <w:r w:rsidRPr="00A741B5">
        <w:rPr>
          <w:sz w:val="22"/>
          <w:szCs w:val="22"/>
        </w:rPr>
        <w:t>Republic of Honduras</w:t>
      </w:r>
      <w:r w:rsidRPr="004F43A6">
        <w:rPr>
          <w:szCs w:val="22"/>
        </w:rPr>
        <w:t xml:space="preserve">, </w:t>
      </w:r>
      <w:r w:rsidRPr="00A741B5">
        <w:rPr>
          <w:sz w:val="22"/>
          <w:szCs w:val="22"/>
        </w:rPr>
        <w:t>Republic of Kazakhstan</w:t>
      </w:r>
      <w:r w:rsidRPr="004F43A6">
        <w:rPr>
          <w:szCs w:val="22"/>
        </w:rPr>
        <w:t xml:space="preserve">, </w:t>
      </w:r>
      <w:r w:rsidRPr="00A741B5">
        <w:rPr>
          <w:sz w:val="22"/>
          <w:szCs w:val="22"/>
        </w:rPr>
        <w:t>Republic of Mauritius</w:t>
      </w:r>
      <w:r w:rsidRPr="004F43A6">
        <w:rPr>
          <w:szCs w:val="22"/>
        </w:rPr>
        <w:t xml:space="preserve">, </w:t>
      </w:r>
      <w:r w:rsidRPr="00A741B5">
        <w:rPr>
          <w:sz w:val="22"/>
          <w:szCs w:val="22"/>
        </w:rPr>
        <w:t>Republic of Moldova</w:t>
      </w:r>
      <w:r w:rsidRPr="004F43A6">
        <w:rPr>
          <w:szCs w:val="22"/>
        </w:rPr>
        <w:t xml:space="preserve">, </w:t>
      </w:r>
      <w:r w:rsidRPr="00A741B5">
        <w:rPr>
          <w:sz w:val="22"/>
          <w:szCs w:val="22"/>
        </w:rPr>
        <w:t>Republic of Panama</w:t>
      </w:r>
      <w:r w:rsidRPr="004F43A6">
        <w:rPr>
          <w:szCs w:val="22"/>
        </w:rPr>
        <w:t xml:space="preserve">, </w:t>
      </w:r>
      <w:r w:rsidRPr="00A741B5">
        <w:rPr>
          <w:sz w:val="22"/>
          <w:szCs w:val="22"/>
        </w:rPr>
        <w:t>Republic of San Marino</w:t>
      </w:r>
      <w:r w:rsidRPr="004F43A6">
        <w:rPr>
          <w:szCs w:val="22"/>
        </w:rPr>
        <w:t xml:space="preserve">, </w:t>
      </w:r>
      <w:r w:rsidRPr="00A741B5">
        <w:rPr>
          <w:sz w:val="22"/>
          <w:szCs w:val="22"/>
        </w:rPr>
        <w:t>Republic of Serbia</w:t>
      </w:r>
      <w:r w:rsidRPr="004F43A6">
        <w:rPr>
          <w:szCs w:val="22"/>
        </w:rPr>
        <w:t xml:space="preserve">, </w:t>
      </w:r>
      <w:r w:rsidRPr="00A741B5">
        <w:rPr>
          <w:sz w:val="22"/>
          <w:szCs w:val="22"/>
        </w:rPr>
        <w:t>Republic of Seychelles</w:t>
      </w:r>
      <w:r w:rsidRPr="004F43A6">
        <w:rPr>
          <w:szCs w:val="22"/>
        </w:rPr>
        <w:t xml:space="preserve">, </w:t>
      </w:r>
      <w:r w:rsidRPr="00A741B5">
        <w:rPr>
          <w:sz w:val="22"/>
          <w:szCs w:val="22"/>
        </w:rPr>
        <w:t>Republic of Singapore</w:t>
      </w:r>
      <w:r w:rsidRPr="004F43A6">
        <w:rPr>
          <w:szCs w:val="22"/>
        </w:rPr>
        <w:t xml:space="preserve">, </w:t>
      </w:r>
      <w:r w:rsidRPr="00A741B5">
        <w:rPr>
          <w:sz w:val="22"/>
          <w:szCs w:val="22"/>
        </w:rPr>
        <w:t>Republic of South Africa</w:t>
      </w:r>
      <w:r w:rsidRPr="004F43A6">
        <w:rPr>
          <w:szCs w:val="22"/>
        </w:rPr>
        <w:t xml:space="preserve">, </w:t>
      </w:r>
      <w:r w:rsidRPr="00A741B5">
        <w:rPr>
          <w:sz w:val="22"/>
          <w:szCs w:val="22"/>
        </w:rPr>
        <w:t>Republic of Tajikistan</w:t>
      </w:r>
      <w:r w:rsidRPr="004F43A6">
        <w:rPr>
          <w:szCs w:val="22"/>
        </w:rPr>
        <w:t xml:space="preserve">, </w:t>
      </w:r>
      <w:r w:rsidRPr="00A741B5">
        <w:rPr>
          <w:sz w:val="22"/>
          <w:szCs w:val="22"/>
        </w:rPr>
        <w:t>Republic of Turkey</w:t>
      </w:r>
      <w:r w:rsidRPr="004F43A6">
        <w:rPr>
          <w:szCs w:val="22"/>
        </w:rPr>
        <w:t xml:space="preserve">, </w:t>
      </w:r>
      <w:r w:rsidRPr="00A741B5">
        <w:rPr>
          <w:sz w:val="22"/>
          <w:szCs w:val="22"/>
        </w:rPr>
        <w:t>Republic of Uzbekistan</w:t>
      </w:r>
      <w:r w:rsidRPr="004F43A6">
        <w:rPr>
          <w:szCs w:val="22"/>
        </w:rPr>
        <w:t xml:space="preserve">, </w:t>
      </w:r>
      <w:r w:rsidRPr="00A741B5">
        <w:rPr>
          <w:sz w:val="22"/>
          <w:szCs w:val="22"/>
        </w:rPr>
        <w:t>Russian Federation</w:t>
      </w:r>
      <w:r w:rsidRPr="004F43A6">
        <w:rPr>
          <w:szCs w:val="22"/>
        </w:rPr>
        <w:t xml:space="preserve">, </w:t>
      </w:r>
      <w:r w:rsidRPr="00A741B5">
        <w:rPr>
          <w:sz w:val="22"/>
          <w:szCs w:val="22"/>
        </w:rPr>
        <w:t>Saint Vincent and the Grenadines</w:t>
      </w:r>
      <w:r w:rsidRPr="004F43A6">
        <w:rPr>
          <w:szCs w:val="22"/>
        </w:rPr>
        <w:t xml:space="preserve"> , </w:t>
      </w:r>
      <w:r w:rsidRPr="00A741B5">
        <w:rPr>
          <w:sz w:val="22"/>
          <w:szCs w:val="22"/>
        </w:rPr>
        <w:t>State of Israel</w:t>
      </w:r>
      <w:r w:rsidRPr="004F43A6">
        <w:rPr>
          <w:szCs w:val="22"/>
        </w:rPr>
        <w:t xml:space="preserve">, </w:t>
      </w:r>
      <w:r w:rsidRPr="00A741B5">
        <w:rPr>
          <w:sz w:val="22"/>
          <w:szCs w:val="22"/>
        </w:rPr>
        <w:t>State of Kuwait</w:t>
      </w:r>
      <w:r w:rsidRPr="004F43A6">
        <w:rPr>
          <w:szCs w:val="22"/>
        </w:rPr>
        <w:t xml:space="preserve">, </w:t>
      </w:r>
      <w:r w:rsidRPr="00A741B5">
        <w:rPr>
          <w:sz w:val="22"/>
          <w:szCs w:val="22"/>
        </w:rPr>
        <w:t>State of Qatar</w:t>
      </w:r>
      <w:r w:rsidRPr="004F43A6">
        <w:rPr>
          <w:szCs w:val="22"/>
        </w:rPr>
        <w:t xml:space="preserve">, </w:t>
      </w:r>
      <w:r w:rsidRPr="00A741B5">
        <w:rPr>
          <w:sz w:val="22"/>
          <w:szCs w:val="22"/>
        </w:rPr>
        <w:t>Sultanate of Oman</w:t>
      </w:r>
      <w:r w:rsidRPr="004F43A6">
        <w:rPr>
          <w:szCs w:val="22"/>
        </w:rPr>
        <w:t xml:space="preserve">, </w:t>
      </w:r>
      <w:r w:rsidRPr="00A741B5">
        <w:rPr>
          <w:sz w:val="22"/>
          <w:szCs w:val="22"/>
        </w:rPr>
        <w:t>Turkmenistan</w:t>
      </w:r>
      <w:r w:rsidRPr="004F43A6">
        <w:rPr>
          <w:szCs w:val="22"/>
        </w:rPr>
        <w:t xml:space="preserve">, </w:t>
      </w:r>
      <w:r w:rsidRPr="00A741B5">
        <w:rPr>
          <w:sz w:val="22"/>
          <w:szCs w:val="22"/>
        </w:rPr>
        <w:t>Ukraine</w:t>
      </w:r>
      <w:r w:rsidRPr="004F43A6">
        <w:rPr>
          <w:szCs w:val="22"/>
        </w:rPr>
        <w:t xml:space="preserve">, </w:t>
      </w:r>
      <w:r w:rsidRPr="00A741B5">
        <w:rPr>
          <w:sz w:val="22"/>
          <w:szCs w:val="22"/>
        </w:rPr>
        <w:t>United Mexican States</w:t>
      </w:r>
      <w:r>
        <w:t xml:space="preserve"> </w:t>
      </w:r>
      <w:r w:rsidRPr="004F43A6">
        <w:rPr>
          <w:sz w:val="22"/>
          <w:szCs w:val="22"/>
        </w:rPr>
        <w:t>need a passport valid for at least six months and can stay in the country without a visa for up to 90</w:t>
      </w:r>
      <w:r w:rsidR="00BB61B7">
        <w:rPr>
          <w:sz w:val="22"/>
          <w:szCs w:val="22"/>
        </w:rPr>
        <w:t xml:space="preserve"> </w:t>
      </w:r>
      <w:r w:rsidRPr="004F43A6">
        <w:rPr>
          <w:sz w:val="22"/>
          <w:szCs w:val="22"/>
        </w:rPr>
        <w:t xml:space="preserve">days. Visitors from other countries may need to apply for </w:t>
      </w:r>
      <w:r w:rsidR="00BB61B7">
        <w:rPr>
          <w:sz w:val="22"/>
          <w:szCs w:val="22"/>
        </w:rPr>
        <w:t>a visa</w:t>
      </w:r>
      <w:r w:rsidRPr="004F43A6">
        <w:rPr>
          <w:sz w:val="22"/>
          <w:szCs w:val="22"/>
        </w:rPr>
        <w:t xml:space="preserve"> before traveling to Georgia. In some cases visas might be issued while crossing land boarders or upon arrival at Tbilisi or Batumi international airports. For the detailed </w:t>
      </w:r>
      <w:r w:rsidR="00BB61B7">
        <w:rPr>
          <w:sz w:val="22"/>
          <w:szCs w:val="22"/>
        </w:rPr>
        <w:t>information, visit</w:t>
      </w:r>
      <w:r w:rsidRPr="004F43A6">
        <w:rPr>
          <w:sz w:val="22"/>
          <w:szCs w:val="22"/>
        </w:rPr>
        <w:t xml:space="preserve"> ministry of foreign affairs official website: </w:t>
      </w:r>
      <w:hyperlink r:id="rId9" w:history="1">
        <w:r>
          <w:rPr>
            <w:color w:val="0000FF"/>
            <w:sz w:val="22"/>
            <w:szCs w:val="22"/>
          </w:rPr>
          <w:t>http://www.mfa.gov.ge/</w:t>
        </w:r>
      </w:hyperlink>
    </w:p>
    <w:p w:rsidR="00597296" w:rsidRDefault="00597296" w:rsidP="000A0293">
      <w:pPr>
        <w:pStyle w:val="Default"/>
        <w:spacing w:after="240"/>
        <w:jc w:val="both"/>
        <w:rPr>
          <w:sz w:val="22"/>
          <w:szCs w:val="22"/>
        </w:rPr>
      </w:pPr>
      <w:r>
        <w:rPr>
          <w:b/>
          <w:bCs/>
          <w:sz w:val="22"/>
          <w:szCs w:val="22"/>
        </w:rPr>
        <w:t>Travel to Georgia/Available airlines:</w:t>
      </w:r>
      <w:r>
        <w:rPr>
          <w:sz w:val="22"/>
          <w:szCs w:val="22"/>
        </w:rPr>
        <w:t xml:space="preserve"> Austrian Airlines, Lufthansa, Czech Airlines, Air Baltic, Turkish Airlines, and BMI operate regular flights to Georgia. It's also possible to reach the country by train from Armenia and Azerbaijan; by boat via Batumi Port or by crossing land borders with Turkey, Armenia and Azerbaijan.  </w:t>
      </w:r>
    </w:p>
    <w:p w:rsidR="004F43A6" w:rsidRDefault="00597296" w:rsidP="000A0293">
      <w:pPr>
        <w:pStyle w:val="Default"/>
        <w:spacing w:after="240"/>
        <w:jc w:val="both"/>
        <w:rPr>
          <w:sz w:val="22"/>
          <w:szCs w:val="22"/>
        </w:rPr>
      </w:pPr>
      <w:r>
        <w:rPr>
          <w:b/>
          <w:bCs/>
          <w:sz w:val="22"/>
          <w:szCs w:val="22"/>
        </w:rPr>
        <w:lastRenderedPageBreak/>
        <w:t>Traveling within Georgia:</w:t>
      </w:r>
      <w:r>
        <w:rPr>
          <w:sz w:val="22"/>
          <w:szCs w:val="22"/>
        </w:rPr>
        <w:t xml:space="preserve"> It's possible to travel in the regions of the country by public transport: buses, minibuses and trains are all inexpensive and relatively easy to use. There are a few scheduled minibuses that provide transportation to almost all the large and middle size villages. However to reach some mountainous areas, such as Tusheti, Svaneti, Racha –Lechkhumi, 4WD vehicles are recommended. </w:t>
      </w:r>
    </w:p>
    <w:p w:rsidR="004A5227" w:rsidRPr="004F08F6" w:rsidRDefault="004A5227" w:rsidP="000A0293">
      <w:pPr>
        <w:pStyle w:val="Default"/>
        <w:spacing w:after="240"/>
        <w:jc w:val="both"/>
        <w:rPr>
          <w:b/>
          <w:sz w:val="22"/>
          <w:szCs w:val="22"/>
        </w:rPr>
      </w:pPr>
      <w:r w:rsidRPr="004F08F6">
        <w:rPr>
          <w:b/>
          <w:sz w:val="22"/>
          <w:szCs w:val="22"/>
        </w:rPr>
        <w:t>Transport</w:t>
      </w:r>
      <w:r w:rsidR="000A0293" w:rsidRPr="004F08F6">
        <w:rPr>
          <w:b/>
          <w:sz w:val="22"/>
          <w:szCs w:val="22"/>
        </w:rPr>
        <w:t xml:space="preserve"> on C</w:t>
      </w:r>
      <w:r w:rsidRPr="004F08F6">
        <w:rPr>
          <w:b/>
          <w:sz w:val="22"/>
          <w:szCs w:val="22"/>
        </w:rPr>
        <w:t>havchavadze avenue:</w:t>
      </w:r>
    </w:p>
    <w:p w:rsidR="004A5227" w:rsidRDefault="004A5227" w:rsidP="000A0293">
      <w:pPr>
        <w:pStyle w:val="Default"/>
        <w:spacing w:after="240"/>
        <w:jc w:val="both"/>
        <w:rPr>
          <w:sz w:val="22"/>
          <w:szCs w:val="22"/>
        </w:rPr>
      </w:pPr>
      <w:r>
        <w:rPr>
          <w:sz w:val="22"/>
          <w:szCs w:val="22"/>
        </w:rPr>
        <w:t>Bus</w:t>
      </w:r>
      <w:r w:rsidR="00BB61B7">
        <w:rPr>
          <w:sz w:val="22"/>
          <w:szCs w:val="22"/>
        </w:rPr>
        <w:t xml:space="preserve"> #</w:t>
      </w:r>
      <w:r>
        <w:rPr>
          <w:sz w:val="22"/>
          <w:szCs w:val="22"/>
        </w:rPr>
        <w:t>: 88, 140, 9, 59, 34</w:t>
      </w:r>
    </w:p>
    <w:p w:rsidR="004A5227" w:rsidRDefault="004A5227" w:rsidP="00BB61B7">
      <w:pPr>
        <w:pStyle w:val="Default"/>
        <w:spacing w:after="240"/>
        <w:rPr>
          <w:sz w:val="22"/>
          <w:szCs w:val="22"/>
        </w:rPr>
      </w:pPr>
      <w:r>
        <w:rPr>
          <w:sz w:val="22"/>
          <w:szCs w:val="22"/>
        </w:rPr>
        <w:t xml:space="preserve">For more detailed information or for planning your trip please visit: </w:t>
      </w:r>
      <w:r w:rsidRPr="004A5227">
        <w:rPr>
          <w:color w:val="0000FF"/>
          <w:sz w:val="22"/>
          <w:szCs w:val="22"/>
        </w:rPr>
        <w:t>http://transit.ttc.com.ge/?page=schedule#/</w:t>
      </w:r>
    </w:p>
    <w:p w:rsidR="00597296" w:rsidRDefault="00597296" w:rsidP="000A0293">
      <w:pPr>
        <w:pStyle w:val="Default"/>
        <w:spacing w:after="120"/>
        <w:jc w:val="both"/>
        <w:rPr>
          <w:sz w:val="22"/>
          <w:szCs w:val="22"/>
        </w:rPr>
      </w:pPr>
      <w:r>
        <w:rPr>
          <w:b/>
          <w:bCs/>
          <w:sz w:val="22"/>
          <w:szCs w:val="22"/>
        </w:rPr>
        <w:t xml:space="preserve">Airport: </w:t>
      </w:r>
      <w:r>
        <w:rPr>
          <w:sz w:val="22"/>
          <w:szCs w:val="22"/>
        </w:rPr>
        <w:t xml:space="preserve">20 km from Tbilisi </w:t>
      </w:r>
      <w:r w:rsidR="00BB61B7">
        <w:rPr>
          <w:sz w:val="22"/>
          <w:szCs w:val="22"/>
        </w:rPr>
        <w:t>Centre</w:t>
      </w:r>
      <w:r>
        <w:rPr>
          <w:sz w:val="22"/>
          <w:szCs w:val="22"/>
        </w:rPr>
        <w:t xml:space="preserve"> (30 GEL – by taxi, 0.5 GEL – by bus) </w:t>
      </w:r>
    </w:p>
    <w:p w:rsidR="00597296" w:rsidRDefault="00597296" w:rsidP="000A0293">
      <w:pPr>
        <w:pStyle w:val="Default"/>
        <w:spacing w:after="120"/>
        <w:jc w:val="both"/>
        <w:rPr>
          <w:sz w:val="22"/>
          <w:szCs w:val="22"/>
        </w:rPr>
      </w:pPr>
      <w:r>
        <w:rPr>
          <w:b/>
          <w:bCs/>
          <w:sz w:val="22"/>
          <w:szCs w:val="22"/>
        </w:rPr>
        <w:t xml:space="preserve">Currency: </w:t>
      </w:r>
      <w:r>
        <w:rPr>
          <w:sz w:val="22"/>
          <w:szCs w:val="22"/>
        </w:rPr>
        <w:t xml:space="preserve">Lari (GEL), 1 USD = </w:t>
      </w:r>
      <w:r w:rsidR="00467CB1">
        <w:rPr>
          <w:sz w:val="22"/>
          <w:szCs w:val="22"/>
        </w:rPr>
        <w:t>2</w:t>
      </w:r>
      <w:r>
        <w:rPr>
          <w:sz w:val="22"/>
          <w:szCs w:val="22"/>
        </w:rPr>
        <w:t>.</w:t>
      </w:r>
      <w:r w:rsidR="00467CB1">
        <w:rPr>
          <w:sz w:val="22"/>
          <w:szCs w:val="22"/>
        </w:rPr>
        <w:t>45</w:t>
      </w:r>
      <w:r>
        <w:rPr>
          <w:sz w:val="22"/>
          <w:szCs w:val="22"/>
        </w:rPr>
        <w:t xml:space="preserve"> GEL, 1 </w:t>
      </w:r>
      <w:r w:rsidR="00BB61B7">
        <w:rPr>
          <w:sz w:val="22"/>
          <w:szCs w:val="22"/>
        </w:rPr>
        <w:t>EURO = 2.</w:t>
      </w:r>
      <w:r w:rsidR="00467CB1">
        <w:rPr>
          <w:sz w:val="22"/>
          <w:szCs w:val="22"/>
        </w:rPr>
        <w:t>7</w:t>
      </w:r>
      <w:r>
        <w:rPr>
          <w:sz w:val="22"/>
          <w:szCs w:val="22"/>
        </w:rPr>
        <w:t xml:space="preserve">GEL </w:t>
      </w:r>
    </w:p>
    <w:p w:rsidR="00597296" w:rsidRDefault="00597296" w:rsidP="000A0293">
      <w:pPr>
        <w:pStyle w:val="Default"/>
        <w:spacing w:after="120"/>
        <w:jc w:val="both"/>
        <w:rPr>
          <w:sz w:val="22"/>
          <w:szCs w:val="22"/>
        </w:rPr>
      </w:pPr>
      <w:r>
        <w:rPr>
          <w:b/>
          <w:bCs/>
          <w:sz w:val="22"/>
          <w:szCs w:val="22"/>
        </w:rPr>
        <w:t xml:space="preserve">Electricity/ Power Supply: </w:t>
      </w:r>
      <w:r w:rsidR="002705F6">
        <w:rPr>
          <w:b/>
          <w:bCs/>
          <w:sz w:val="22"/>
          <w:szCs w:val="22"/>
        </w:rPr>
        <w:t xml:space="preserve"> </w:t>
      </w:r>
      <w:r>
        <w:rPr>
          <w:sz w:val="22"/>
          <w:szCs w:val="22"/>
        </w:rPr>
        <w:t xml:space="preserve">220 V, 50 Hz. two round-pin plugs are used   </w:t>
      </w:r>
    </w:p>
    <w:p w:rsidR="00597296" w:rsidRDefault="00597296" w:rsidP="000A0293">
      <w:pPr>
        <w:pStyle w:val="Default"/>
        <w:spacing w:after="240"/>
        <w:jc w:val="both"/>
        <w:rPr>
          <w:sz w:val="22"/>
          <w:szCs w:val="22"/>
        </w:rPr>
      </w:pPr>
      <w:r>
        <w:rPr>
          <w:b/>
          <w:bCs/>
          <w:sz w:val="21"/>
          <w:szCs w:val="21"/>
        </w:rPr>
        <w:t>Communication:</w:t>
      </w:r>
      <w:r>
        <w:rPr>
          <w:sz w:val="21"/>
          <w:szCs w:val="21"/>
        </w:rPr>
        <w:t xml:space="preserve"> </w:t>
      </w:r>
      <w:r>
        <w:rPr>
          <w:sz w:val="22"/>
          <w:szCs w:val="22"/>
        </w:rPr>
        <w:t xml:space="preserve">When calling Georgia, the country code is 995; area code for Tbilisi is 32. Mobile telephone: GSM 900 and 1800 network. Coverage extends throughout most of the </w:t>
      </w:r>
      <w:r>
        <w:rPr>
          <w:sz w:val="21"/>
          <w:szCs w:val="21"/>
        </w:rPr>
        <w:t xml:space="preserve">country, with the notable exception of some high mountain regions </w:t>
      </w:r>
      <w:r>
        <w:rPr>
          <w:sz w:val="22"/>
          <w:szCs w:val="22"/>
        </w:rPr>
        <w:t xml:space="preserve">(please visit </w:t>
      </w:r>
      <w:hyperlink r:id="rId10" w:history="1">
        <w:r>
          <w:rPr>
            <w:color w:val="0000FF"/>
            <w:sz w:val="22"/>
            <w:szCs w:val="22"/>
          </w:rPr>
          <w:t>www.geocell.com.ge</w:t>
        </w:r>
      </w:hyperlink>
      <w:r>
        <w:rPr>
          <w:sz w:val="21"/>
          <w:szCs w:val="21"/>
        </w:rPr>
        <w:t xml:space="preserve">; </w:t>
      </w:r>
      <w:hyperlink r:id="rId11" w:history="1">
        <w:r>
          <w:rPr>
            <w:color w:val="0000FF"/>
            <w:sz w:val="22"/>
            <w:szCs w:val="22"/>
          </w:rPr>
          <w:t>www.magtigsm.com</w:t>
        </w:r>
      </w:hyperlink>
      <w:r>
        <w:rPr>
          <w:sz w:val="21"/>
          <w:szCs w:val="21"/>
        </w:rPr>
        <w:t xml:space="preserve">; </w:t>
      </w:r>
      <w:hyperlink r:id="rId12" w:history="1">
        <w:r>
          <w:rPr>
            <w:color w:val="0000FF"/>
            <w:sz w:val="22"/>
            <w:szCs w:val="22"/>
          </w:rPr>
          <w:t>www.beeline.ge</w:t>
        </w:r>
      </w:hyperlink>
      <w:r>
        <w:rPr>
          <w:rFonts w:ascii="Calibri" w:hAnsi="Calibri" w:cs="Calibri"/>
          <w:sz w:val="22"/>
          <w:szCs w:val="22"/>
        </w:rPr>
        <w:t xml:space="preserve"> for detailed information about available mobile operators</w:t>
      </w:r>
      <w:r>
        <w:rPr>
          <w:sz w:val="22"/>
          <w:szCs w:val="22"/>
        </w:rPr>
        <w:t>).</w:t>
      </w:r>
    </w:p>
    <w:p w:rsidR="00597296" w:rsidRDefault="00597296" w:rsidP="000A0293">
      <w:pPr>
        <w:pStyle w:val="Default"/>
        <w:spacing w:after="240"/>
        <w:jc w:val="both"/>
        <w:rPr>
          <w:sz w:val="22"/>
          <w:szCs w:val="22"/>
        </w:rPr>
      </w:pPr>
      <w:r w:rsidRPr="004F08F6">
        <w:rPr>
          <w:b/>
          <w:sz w:val="22"/>
          <w:szCs w:val="22"/>
        </w:rPr>
        <w:t>Useful telephone numbers:</w:t>
      </w:r>
      <w:r>
        <w:rPr>
          <w:sz w:val="22"/>
          <w:szCs w:val="22"/>
        </w:rPr>
        <w:t xml:space="preserve"> Emergency number 112; Information service 11809. </w:t>
      </w:r>
    </w:p>
    <w:p w:rsidR="00597296" w:rsidRDefault="00597296" w:rsidP="000A0293">
      <w:pPr>
        <w:pStyle w:val="Default"/>
        <w:spacing w:after="240"/>
        <w:jc w:val="both"/>
        <w:rPr>
          <w:sz w:val="22"/>
          <w:szCs w:val="22"/>
        </w:rPr>
      </w:pPr>
      <w:r>
        <w:rPr>
          <w:sz w:val="22"/>
          <w:szCs w:val="22"/>
        </w:rPr>
        <w:t xml:space="preserve">When travel in Georgia, you can bring your own GSM cell phone and just purchase the Sim card in Geocell, Magti GSM or Beeline offices. </w:t>
      </w:r>
    </w:p>
    <w:p w:rsidR="00597296" w:rsidRDefault="00597296" w:rsidP="000A0293">
      <w:pPr>
        <w:pStyle w:val="Default"/>
        <w:spacing w:after="240"/>
        <w:jc w:val="both"/>
        <w:rPr>
          <w:sz w:val="22"/>
          <w:szCs w:val="22"/>
        </w:rPr>
      </w:pPr>
      <w:r>
        <w:rPr>
          <w:b/>
          <w:bCs/>
          <w:sz w:val="22"/>
          <w:szCs w:val="22"/>
        </w:rPr>
        <w:t>Water</w:t>
      </w:r>
      <w:r>
        <w:rPr>
          <w:sz w:val="22"/>
          <w:szCs w:val="22"/>
        </w:rPr>
        <w:t xml:space="preserve">: Tap water is safe to drink in most areas. The spring water in the mountains is even safer. Bottled carbonated mineral water “Borjomi”, “Nabeglavi”, “Likani” or still water is a good alternative to tap water, and is widely available in cities and small towns. </w:t>
      </w:r>
    </w:p>
    <w:p w:rsidR="00597296" w:rsidRDefault="00597296" w:rsidP="000A0293">
      <w:pPr>
        <w:pStyle w:val="Default"/>
        <w:spacing w:after="240"/>
        <w:jc w:val="both"/>
        <w:rPr>
          <w:sz w:val="22"/>
          <w:szCs w:val="22"/>
        </w:rPr>
      </w:pPr>
      <w:r>
        <w:rPr>
          <w:b/>
          <w:bCs/>
          <w:sz w:val="22"/>
          <w:szCs w:val="22"/>
        </w:rPr>
        <w:t>Working Hours:</w:t>
      </w:r>
      <w:r>
        <w:rPr>
          <w:sz w:val="22"/>
          <w:szCs w:val="22"/>
        </w:rPr>
        <w:t xml:space="preserve"> Public Institutions-9:00 AM – 6:00 PM; Business Organizations-9:00 AM or 9:30AM – 6:00 PM or 7:00 PM; Shops and Supermarkets-10 AM – 7:00 PM or 8:00 PM; Subway -6:00 AM – 12:00 PM; Public Transportation (Bus, Minibus) - 6:00 AM – 11:00 PM.  </w:t>
      </w:r>
    </w:p>
    <w:p w:rsidR="00597296" w:rsidRDefault="00597296" w:rsidP="000A0293">
      <w:pPr>
        <w:pStyle w:val="Default"/>
        <w:spacing w:after="240"/>
        <w:jc w:val="both"/>
        <w:rPr>
          <w:sz w:val="22"/>
          <w:szCs w:val="22"/>
        </w:rPr>
      </w:pPr>
      <w:r>
        <w:rPr>
          <w:b/>
          <w:bCs/>
          <w:sz w:val="22"/>
          <w:szCs w:val="22"/>
        </w:rPr>
        <w:t>Banks:</w:t>
      </w:r>
      <w:r>
        <w:rPr>
          <w:sz w:val="22"/>
          <w:szCs w:val="22"/>
        </w:rPr>
        <w:t xml:space="preserve"> Bank opening hours 10:00 – 16:30 (10:00 – 14:00 on Saturday); VISA, MasterCard and American Express are used. You can get cash in ATM in every district of Tbilisi. </w:t>
      </w:r>
    </w:p>
    <w:p w:rsidR="00597296" w:rsidRDefault="00597296" w:rsidP="000A0293">
      <w:pPr>
        <w:pStyle w:val="Default"/>
        <w:spacing w:after="240"/>
        <w:jc w:val="both"/>
        <w:rPr>
          <w:sz w:val="22"/>
          <w:szCs w:val="22"/>
        </w:rPr>
      </w:pPr>
      <w:r>
        <w:rPr>
          <w:sz w:val="22"/>
          <w:szCs w:val="22"/>
        </w:rPr>
        <w:t xml:space="preserve">Here is detailed information about ATM in Tbilisi, follow the links: </w:t>
      </w:r>
    </w:p>
    <w:p w:rsidR="00597296" w:rsidRDefault="00597296" w:rsidP="000A0293">
      <w:pPr>
        <w:pStyle w:val="Default"/>
        <w:spacing w:after="240"/>
        <w:jc w:val="both"/>
        <w:rPr>
          <w:sz w:val="22"/>
          <w:szCs w:val="22"/>
        </w:rPr>
      </w:pPr>
      <w:r>
        <w:rPr>
          <w:i/>
          <w:iCs/>
          <w:sz w:val="22"/>
          <w:szCs w:val="22"/>
        </w:rPr>
        <w:t xml:space="preserve">TBC Bank ATM: </w:t>
      </w:r>
      <w:hyperlink r:id="rId13" w:history="1">
        <w:r>
          <w:rPr>
            <w:color w:val="0000FF"/>
            <w:sz w:val="22"/>
            <w:szCs w:val="22"/>
          </w:rPr>
          <w:t>http://tbcbank.com.ge/en/</w:t>
        </w:r>
      </w:hyperlink>
      <w:r>
        <w:rPr>
          <w:sz w:val="22"/>
          <w:szCs w:val="22"/>
        </w:rPr>
        <w:t xml:space="preserve">  </w:t>
      </w:r>
    </w:p>
    <w:p w:rsidR="00597296" w:rsidRDefault="00597296" w:rsidP="000A0293">
      <w:pPr>
        <w:pStyle w:val="Default"/>
        <w:spacing w:after="240"/>
        <w:jc w:val="both"/>
        <w:rPr>
          <w:sz w:val="22"/>
          <w:szCs w:val="22"/>
        </w:rPr>
      </w:pPr>
      <w:r>
        <w:rPr>
          <w:i/>
          <w:iCs/>
          <w:sz w:val="22"/>
          <w:szCs w:val="22"/>
        </w:rPr>
        <w:t xml:space="preserve">Bank of Georgia ATM: </w:t>
      </w:r>
      <w:hyperlink r:id="rId14" w:history="1">
        <w:r>
          <w:rPr>
            <w:color w:val="0000FF"/>
            <w:sz w:val="22"/>
            <w:szCs w:val="22"/>
          </w:rPr>
          <w:t>http://bankofgeorgia.ge/en/information/locations/branches-and-atms</w:t>
        </w:r>
      </w:hyperlink>
      <w:r>
        <w:rPr>
          <w:sz w:val="22"/>
          <w:szCs w:val="22"/>
        </w:rPr>
        <w:t xml:space="preserve"> </w:t>
      </w:r>
    </w:p>
    <w:p w:rsidR="00597296" w:rsidRDefault="00597296" w:rsidP="000A0293">
      <w:pPr>
        <w:pStyle w:val="Default"/>
        <w:spacing w:after="240"/>
        <w:jc w:val="both"/>
        <w:rPr>
          <w:sz w:val="22"/>
          <w:szCs w:val="22"/>
        </w:rPr>
      </w:pPr>
      <w:r>
        <w:rPr>
          <w:i/>
          <w:iCs/>
          <w:sz w:val="22"/>
          <w:szCs w:val="22"/>
        </w:rPr>
        <w:t xml:space="preserve">Bank Republic ATM: </w:t>
      </w:r>
      <w:hyperlink r:id="rId15" w:history="1">
        <w:r>
          <w:rPr>
            <w:color w:val="0000FF"/>
            <w:sz w:val="22"/>
            <w:szCs w:val="22"/>
          </w:rPr>
          <w:t>http://www.republic.ge/index.php?lang_id=ENG&amp;sec_id=173</w:t>
        </w:r>
      </w:hyperlink>
    </w:p>
    <w:p w:rsidR="00597296" w:rsidRDefault="00597296" w:rsidP="000A0293">
      <w:pPr>
        <w:pStyle w:val="Default"/>
        <w:spacing w:after="240"/>
        <w:jc w:val="both"/>
        <w:rPr>
          <w:sz w:val="22"/>
          <w:szCs w:val="22"/>
        </w:rPr>
      </w:pPr>
      <w:r>
        <w:rPr>
          <w:b/>
          <w:bCs/>
          <w:sz w:val="22"/>
          <w:szCs w:val="22"/>
        </w:rPr>
        <w:t>Health &amp; Safety:</w:t>
      </w:r>
      <w:r>
        <w:rPr>
          <w:sz w:val="22"/>
          <w:szCs w:val="22"/>
        </w:rPr>
        <w:t xml:space="preserve"> Tbilisi is a safe city and violent crime is very unusual. Normal precautions should be taken, including keeping track of your wallet or other valuables on crowded buses and trains.  </w:t>
      </w:r>
    </w:p>
    <w:p w:rsidR="00BB61B7" w:rsidRDefault="00BB61B7" w:rsidP="000A0293">
      <w:pPr>
        <w:pStyle w:val="Default"/>
        <w:spacing w:after="240"/>
        <w:jc w:val="both"/>
        <w:rPr>
          <w:b/>
          <w:bCs/>
          <w:sz w:val="22"/>
          <w:szCs w:val="22"/>
        </w:rPr>
      </w:pPr>
    </w:p>
    <w:p w:rsidR="00597296" w:rsidRDefault="006049AD" w:rsidP="000A0293">
      <w:pPr>
        <w:pStyle w:val="Default"/>
        <w:spacing w:after="240"/>
        <w:jc w:val="both"/>
        <w:rPr>
          <w:sz w:val="22"/>
          <w:szCs w:val="22"/>
        </w:rPr>
      </w:pPr>
      <w:r>
        <w:rPr>
          <w:b/>
          <w:bCs/>
          <w:noProof/>
          <w:sz w:val="22"/>
          <w:szCs w:val="22"/>
        </w:rPr>
        <w:lastRenderedPageBreak/>
        <w:drawing>
          <wp:anchor distT="0" distB="0" distL="114300" distR="114300" simplePos="0" relativeHeight="251660288" behindDoc="0" locked="0" layoutInCell="1" allowOverlap="1" wp14:anchorId="73B22F2F" wp14:editId="15C90C99">
            <wp:simplePos x="0" y="0"/>
            <wp:positionH relativeFrom="column">
              <wp:posOffset>1021715</wp:posOffset>
            </wp:positionH>
            <wp:positionV relativeFrom="paragraph">
              <wp:posOffset>1772920</wp:posOffset>
            </wp:positionV>
            <wp:extent cx="675640" cy="175895"/>
            <wp:effectExtent l="0" t="0" r="0" b="0"/>
            <wp:wrapThrough wrapText="bothSides">
              <wp:wrapPolygon edited="0">
                <wp:start x="0" y="0"/>
                <wp:lineTo x="0" y="18715"/>
                <wp:lineTo x="20707" y="18715"/>
                <wp:lineTo x="2070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675640" cy="17589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rPr>
        <w:drawing>
          <wp:anchor distT="0" distB="0" distL="114300" distR="114300" simplePos="0" relativeHeight="251659264" behindDoc="0" locked="0" layoutInCell="1" allowOverlap="1" wp14:anchorId="6403B566" wp14:editId="7D52FC9E">
            <wp:simplePos x="0" y="0"/>
            <wp:positionH relativeFrom="column">
              <wp:posOffset>4445</wp:posOffset>
            </wp:positionH>
            <wp:positionV relativeFrom="paragraph">
              <wp:posOffset>0</wp:posOffset>
            </wp:positionV>
            <wp:extent cx="5943600" cy="2352040"/>
            <wp:effectExtent l="0" t="0" r="0" b="0"/>
            <wp:wrapThrough wrapText="bothSides">
              <wp:wrapPolygon edited="0">
                <wp:start x="0" y="0"/>
                <wp:lineTo x="0" y="21343"/>
                <wp:lineTo x="21531" y="21343"/>
                <wp:lineTo x="215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 map.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2352040"/>
                    </a:xfrm>
                    <a:prstGeom prst="rect">
                      <a:avLst/>
                    </a:prstGeom>
                  </pic:spPr>
                </pic:pic>
              </a:graphicData>
            </a:graphic>
          </wp:anchor>
        </w:drawing>
      </w:r>
      <w:r w:rsidR="00597296">
        <w:rPr>
          <w:b/>
          <w:bCs/>
          <w:sz w:val="22"/>
          <w:szCs w:val="22"/>
        </w:rPr>
        <w:t xml:space="preserve">Cost of Living in Tbilisi: </w:t>
      </w:r>
    </w:p>
    <w:p w:rsidR="00597296" w:rsidRDefault="00597296" w:rsidP="000A0293">
      <w:pPr>
        <w:pStyle w:val="Default"/>
        <w:spacing w:after="240"/>
        <w:jc w:val="both"/>
        <w:rPr>
          <w:sz w:val="22"/>
          <w:szCs w:val="22"/>
        </w:rPr>
      </w:pPr>
      <w:r>
        <w:rPr>
          <w:sz w:val="22"/>
          <w:szCs w:val="22"/>
        </w:rPr>
        <w:t xml:space="preserve">Apartment’s rental cost (monthly, daily) average daily cost </w:t>
      </w:r>
      <w:r>
        <w:rPr>
          <w:b/>
          <w:bCs/>
          <w:sz w:val="22"/>
          <w:szCs w:val="22"/>
        </w:rPr>
        <w:t>-$60;</w:t>
      </w:r>
      <w:r>
        <w:rPr>
          <w:sz w:val="22"/>
          <w:szCs w:val="22"/>
        </w:rPr>
        <w:t xml:space="preserve"> average monthly </w:t>
      </w:r>
      <w:r>
        <w:rPr>
          <w:b/>
          <w:bCs/>
          <w:sz w:val="22"/>
          <w:szCs w:val="22"/>
        </w:rPr>
        <w:t xml:space="preserve">$300-700 </w:t>
      </w:r>
      <w:r>
        <w:rPr>
          <w:sz w:val="22"/>
          <w:szCs w:val="22"/>
        </w:rPr>
        <w:t xml:space="preserve">depending on the location and apartment size) </w:t>
      </w:r>
    </w:p>
    <w:p w:rsidR="00BB61B7" w:rsidRPr="00BB61B7" w:rsidRDefault="00597296" w:rsidP="002705F6">
      <w:pPr>
        <w:jc w:val="both"/>
        <w:rPr>
          <w:rFonts w:ascii="Cambria" w:hAnsi="Cambria" w:cs="Cambria"/>
          <w:color w:val="000000"/>
        </w:rPr>
      </w:pPr>
      <w:r>
        <w:t xml:space="preserve">For the detailed </w:t>
      </w:r>
      <w:r w:rsidR="00BB61B7">
        <w:t>information, please</w:t>
      </w:r>
      <w:r>
        <w:t xml:space="preserve"> visit the link: </w:t>
      </w:r>
      <w:hyperlink r:id="rId18" w:history="1">
        <w:r>
          <w:rPr>
            <w:color w:val="0000FF"/>
          </w:rPr>
          <w:t>http://www.rentals.ge/</w:t>
        </w:r>
      </w:hyperlink>
      <w:r>
        <w:t xml:space="preserve">; </w:t>
      </w:r>
      <w:hyperlink r:id="rId19" w:history="1">
        <w:r w:rsidRPr="00A219D1">
          <w:rPr>
            <w:rStyle w:val="Hyperlink"/>
          </w:rPr>
          <w:t>http://place.ge/ge</w:t>
        </w:r>
      </w:hyperlink>
      <w:r w:rsidR="00B47F02">
        <w:t xml:space="preserve">; </w:t>
      </w:r>
      <w:hyperlink r:id="rId20" w:history="1">
        <w:r w:rsidR="00BB61B7" w:rsidRPr="00086909">
          <w:rPr>
            <w:rStyle w:val="Hyperlink"/>
          </w:rPr>
          <w:t>http://tbilisihotels.bookonline2save.com/</w:t>
        </w:r>
      </w:hyperlink>
      <w:r w:rsidR="00BB61B7">
        <w:rPr>
          <w:rStyle w:val="Hyperlink"/>
        </w:rPr>
        <w:t xml:space="preserve"> </w:t>
      </w:r>
    </w:p>
    <w:p w:rsidR="00BB61B7" w:rsidRPr="00BB61B7" w:rsidRDefault="00BB61B7" w:rsidP="002D68A7">
      <w:pPr>
        <w:rPr>
          <w:rFonts w:ascii="Cambria" w:hAnsi="Cambria" w:cs="Cambria"/>
          <w:color w:val="000000"/>
        </w:rPr>
      </w:pPr>
      <w:r w:rsidRPr="00BB61B7">
        <w:rPr>
          <w:rFonts w:ascii="Cambria" w:hAnsi="Cambria" w:cs="Cambria"/>
          <w:color w:val="000000"/>
        </w:rPr>
        <w:t xml:space="preserve">Hostels are also available in Tbilisi the private room average price is </w:t>
      </w:r>
      <w:r w:rsidRPr="002D68A7">
        <w:rPr>
          <w:rFonts w:ascii="Cambria" w:hAnsi="Cambria" w:cs="Cambria"/>
          <w:color w:val="000000"/>
        </w:rPr>
        <w:t>$ 35</w:t>
      </w:r>
      <w:r w:rsidRPr="00BB61B7">
        <w:rPr>
          <w:rFonts w:ascii="Cambria" w:hAnsi="Cambria" w:cs="Cambria"/>
          <w:color w:val="000000"/>
        </w:rPr>
        <w:t xml:space="preserve"> and the dor</w:t>
      </w:r>
      <w:r>
        <w:rPr>
          <w:rFonts w:ascii="Cambria" w:hAnsi="Cambria" w:cs="Cambria"/>
          <w:color w:val="000000"/>
        </w:rPr>
        <w:t>m</w:t>
      </w:r>
      <w:r w:rsidRPr="00BB61B7">
        <w:rPr>
          <w:rFonts w:ascii="Cambria" w:hAnsi="Cambria" w:cs="Cambria"/>
          <w:color w:val="000000"/>
        </w:rPr>
        <w:t xml:space="preserve"> price is </w:t>
      </w:r>
      <w:r w:rsidRPr="002D68A7">
        <w:rPr>
          <w:rFonts w:ascii="Cambria" w:hAnsi="Cambria" w:cs="Cambria"/>
          <w:color w:val="000000"/>
        </w:rPr>
        <w:t xml:space="preserve">$15 (Possible hostels to </w:t>
      </w:r>
      <w:r w:rsidR="002D68A7" w:rsidRPr="002D68A7">
        <w:rPr>
          <w:rFonts w:ascii="Cambria" w:hAnsi="Cambria" w:cs="Cambria"/>
          <w:color w:val="000000"/>
        </w:rPr>
        <w:t>stay “Oribeli”</w:t>
      </w:r>
      <w:r w:rsidR="002D68A7">
        <w:rPr>
          <w:rFonts w:ascii="Cambria" w:hAnsi="Cambria" w:cs="Cambria"/>
          <w:b/>
          <w:color w:val="000000"/>
        </w:rPr>
        <w:t xml:space="preserve"> </w:t>
      </w:r>
      <w:r w:rsidRPr="002D68A7">
        <w:rPr>
          <w:rStyle w:val="Hyperlink"/>
        </w:rPr>
        <w:t xml:space="preserve">https://www.facebook.com/hosteloribeli/info ; </w:t>
      </w:r>
      <w:r w:rsidR="002D68A7">
        <w:rPr>
          <w:rStyle w:val="Hyperlink"/>
        </w:rPr>
        <w:t xml:space="preserve"> </w:t>
      </w:r>
      <w:r w:rsidR="002D68A7" w:rsidRPr="002D68A7">
        <w:rPr>
          <w:rFonts w:ascii="Cambria" w:hAnsi="Cambria" w:cs="Cambria"/>
          <w:color w:val="000000"/>
        </w:rPr>
        <w:t>“Darchee”</w:t>
      </w:r>
      <w:r w:rsidR="002D68A7">
        <w:rPr>
          <w:rStyle w:val="Hyperlink"/>
        </w:rPr>
        <w:t xml:space="preserve"> </w:t>
      </w:r>
      <w:hyperlink r:id="rId21" w:history="1">
        <w:r w:rsidR="002D68A7" w:rsidRPr="00086909">
          <w:rPr>
            <w:rStyle w:val="Hyperlink"/>
          </w:rPr>
          <w:t>https://www.facebook.com/DarcheeHostel/info</w:t>
        </w:r>
      </w:hyperlink>
      <w:r w:rsidR="002D68A7">
        <w:rPr>
          <w:rStyle w:val="Hyperlink"/>
        </w:rPr>
        <w:t xml:space="preserve"> </w:t>
      </w:r>
      <w:r w:rsidR="002D68A7" w:rsidRPr="002D68A7">
        <w:rPr>
          <w:rFonts w:ascii="Cambria" w:hAnsi="Cambria" w:cs="Cambria"/>
          <w:color w:val="000000"/>
        </w:rPr>
        <w:t>and others</w:t>
      </w:r>
      <w:r w:rsidRPr="002D68A7">
        <w:rPr>
          <w:rFonts w:ascii="Cambria" w:hAnsi="Cambria" w:cs="Cambria"/>
          <w:color w:val="000000"/>
        </w:rPr>
        <w:t>)</w:t>
      </w:r>
    </w:p>
    <w:p w:rsidR="00B47F02" w:rsidRDefault="00BB61B7" w:rsidP="000A0293">
      <w:pPr>
        <w:pStyle w:val="Default"/>
        <w:spacing w:after="240"/>
        <w:jc w:val="both"/>
        <w:rPr>
          <w:sz w:val="22"/>
          <w:szCs w:val="22"/>
        </w:rPr>
      </w:pPr>
      <w:r>
        <w:rPr>
          <w:sz w:val="22"/>
          <w:szCs w:val="22"/>
        </w:rPr>
        <w:t>Guest house</w:t>
      </w:r>
      <w:r w:rsidR="00B47F02">
        <w:rPr>
          <w:sz w:val="22"/>
          <w:szCs w:val="22"/>
        </w:rPr>
        <w:t xml:space="preserve"> rental average cost per person per night is </w:t>
      </w:r>
      <w:r w:rsidR="00B47F02">
        <w:rPr>
          <w:b/>
          <w:bCs/>
          <w:sz w:val="22"/>
          <w:szCs w:val="22"/>
        </w:rPr>
        <w:t>$18.</w:t>
      </w:r>
      <w:r w:rsidR="00B47F02">
        <w:rPr>
          <w:sz w:val="22"/>
          <w:szCs w:val="22"/>
        </w:rPr>
        <w:t xml:space="preserve">  </w:t>
      </w:r>
    </w:p>
    <w:p w:rsidR="00B47F02" w:rsidRDefault="00B47F02" w:rsidP="000A0293">
      <w:pPr>
        <w:pStyle w:val="Default"/>
        <w:spacing w:after="240"/>
        <w:jc w:val="both"/>
        <w:rPr>
          <w:sz w:val="22"/>
          <w:szCs w:val="22"/>
        </w:rPr>
      </w:pPr>
      <w:r>
        <w:rPr>
          <w:sz w:val="22"/>
          <w:szCs w:val="22"/>
        </w:rPr>
        <w:t xml:space="preserve">Hotel rental average cost per person per night is </w:t>
      </w:r>
      <w:r>
        <w:rPr>
          <w:b/>
          <w:bCs/>
          <w:sz w:val="22"/>
          <w:szCs w:val="22"/>
        </w:rPr>
        <w:t>$80.</w:t>
      </w:r>
      <w:r>
        <w:rPr>
          <w:sz w:val="22"/>
          <w:szCs w:val="22"/>
        </w:rPr>
        <w:t xml:space="preserve"> </w:t>
      </w:r>
    </w:p>
    <w:p w:rsidR="00597296" w:rsidRPr="00597296" w:rsidRDefault="00B47F02" w:rsidP="000A0293">
      <w:pPr>
        <w:pStyle w:val="Default"/>
        <w:spacing w:after="240"/>
        <w:jc w:val="both"/>
        <w:rPr>
          <w:sz w:val="22"/>
          <w:szCs w:val="22"/>
        </w:rPr>
      </w:pPr>
      <w:r>
        <w:rPr>
          <w:sz w:val="22"/>
          <w:szCs w:val="22"/>
        </w:rPr>
        <w:t xml:space="preserve">For the detailed </w:t>
      </w:r>
      <w:r w:rsidR="00BB61B7">
        <w:rPr>
          <w:sz w:val="22"/>
          <w:szCs w:val="22"/>
        </w:rPr>
        <w:t>information, please</w:t>
      </w:r>
      <w:r>
        <w:rPr>
          <w:sz w:val="22"/>
          <w:szCs w:val="22"/>
        </w:rPr>
        <w:t xml:space="preserve"> see the link: </w:t>
      </w:r>
      <w:hyperlink r:id="rId22" w:history="1">
        <w:r>
          <w:rPr>
            <w:color w:val="0000FF"/>
            <w:sz w:val="22"/>
            <w:szCs w:val="22"/>
          </w:rPr>
          <w:t>ht</w:t>
        </w:r>
        <w:bookmarkStart w:id="0" w:name="_GoBack"/>
        <w:bookmarkEnd w:id="0"/>
        <w:r>
          <w:rPr>
            <w:color w:val="0000FF"/>
            <w:sz w:val="22"/>
            <w:szCs w:val="22"/>
          </w:rPr>
          <w:t>tp://www.guide-georgia.ge</w:t>
        </w:r>
      </w:hyperlink>
    </w:p>
    <w:p w:rsidR="00B47F02" w:rsidRDefault="00B47F02" w:rsidP="000A0293">
      <w:pPr>
        <w:pStyle w:val="Default"/>
        <w:spacing w:after="240"/>
        <w:jc w:val="both"/>
        <w:rPr>
          <w:sz w:val="22"/>
          <w:szCs w:val="22"/>
        </w:rPr>
      </w:pPr>
      <w:r>
        <w:rPr>
          <w:b/>
          <w:bCs/>
          <w:sz w:val="22"/>
          <w:szCs w:val="22"/>
        </w:rPr>
        <w:t xml:space="preserve">CIF Contact Details: </w:t>
      </w:r>
      <w:r>
        <w:rPr>
          <w:sz w:val="22"/>
          <w:szCs w:val="22"/>
        </w:rPr>
        <w:t xml:space="preserve"> </w:t>
      </w:r>
    </w:p>
    <w:p w:rsidR="00467CB1" w:rsidRPr="00467CB1" w:rsidRDefault="00B47F02" w:rsidP="000A0293">
      <w:pPr>
        <w:pStyle w:val="Default"/>
        <w:spacing w:after="240"/>
        <w:jc w:val="both"/>
        <w:rPr>
          <w:b/>
          <w:sz w:val="22"/>
          <w:szCs w:val="22"/>
        </w:rPr>
      </w:pPr>
      <w:r w:rsidRPr="00467CB1">
        <w:rPr>
          <w:b/>
          <w:sz w:val="22"/>
          <w:szCs w:val="22"/>
        </w:rPr>
        <w:t>Address:</w:t>
      </w:r>
    </w:p>
    <w:p w:rsidR="00467CB1" w:rsidRDefault="00467CB1" w:rsidP="00467CB1">
      <w:pPr>
        <w:pStyle w:val="Default"/>
        <w:spacing w:after="240"/>
        <w:ind w:left="720"/>
        <w:jc w:val="both"/>
        <w:rPr>
          <w:sz w:val="22"/>
          <w:szCs w:val="22"/>
        </w:rPr>
      </w:pPr>
      <w:r>
        <w:rPr>
          <w:sz w:val="22"/>
          <w:szCs w:val="22"/>
        </w:rPr>
        <w:t xml:space="preserve">Office 1: </w:t>
      </w:r>
      <w:r w:rsidR="00B47F02">
        <w:rPr>
          <w:sz w:val="22"/>
          <w:szCs w:val="22"/>
        </w:rPr>
        <w:t xml:space="preserve"> </w:t>
      </w:r>
      <w:r>
        <w:rPr>
          <w:sz w:val="22"/>
          <w:szCs w:val="22"/>
        </w:rPr>
        <w:t xml:space="preserve">37d, </w:t>
      </w:r>
      <w:proofErr w:type="spellStart"/>
      <w:r>
        <w:rPr>
          <w:sz w:val="22"/>
          <w:szCs w:val="22"/>
        </w:rPr>
        <w:t>Chavchavadze</w:t>
      </w:r>
      <w:proofErr w:type="spellEnd"/>
      <w:r>
        <w:rPr>
          <w:sz w:val="22"/>
          <w:szCs w:val="22"/>
        </w:rPr>
        <w:t xml:space="preserve"> Avenue, </w:t>
      </w:r>
      <w:r>
        <w:rPr>
          <w:sz w:val="22"/>
          <w:szCs w:val="22"/>
        </w:rPr>
        <w:t>P.O. Box 56, 0179,</w:t>
      </w:r>
      <w:r>
        <w:rPr>
          <w:sz w:val="22"/>
          <w:szCs w:val="22"/>
        </w:rPr>
        <w:t xml:space="preserve"> </w:t>
      </w:r>
      <w:r>
        <w:rPr>
          <w:sz w:val="22"/>
          <w:szCs w:val="22"/>
        </w:rPr>
        <w:t>Tbilisi, Georgia</w:t>
      </w:r>
    </w:p>
    <w:p w:rsidR="00467CB1" w:rsidRDefault="00467CB1" w:rsidP="00467CB1">
      <w:pPr>
        <w:pStyle w:val="Default"/>
        <w:spacing w:after="240"/>
        <w:ind w:left="720"/>
        <w:jc w:val="both"/>
        <w:rPr>
          <w:sz w:val="22"/>
          <w:szCs w:val="22"/>
        </w:rPr>
      </w:pPr>
      <w:r>
        <w:rPr>
          <w:sz w:val="22"/>
          <w:szCs w:val="22"/>
        </w:rPr>
        <w:t xml:space="preserve">Office 2:  3 </w:t>
      </w:r>
      <w:proofErr w:type="spellStart"/>
      <w:r>
        <w:rPr>
          <w:sz w:val="22"/>
          <w:szCs w:val="22"/>
        </w:rPr>
        <w:t>Kavsadze</w:t>
      </w:r>
      <w:proofErr w:type="spellEnd"/>
      <w:r>
        <w:rPr>
          <w:sz w:val="22"/>
          <w:szCs w:val="22"/>
        </w:rPr>
        <w:t xml:space="preserve"> Str., Office No 5, </w:t>
      </w:r>
      <w:r>
        <w:rPr>
          <w:sz w:val="22"/>
          <w:szCs w:val="22"/>
        </w:rPr>
        <w:t>P.O. Box 56, 0179, Tbilisi, Georgia</w:t>
      </w:r>
    </w:p>
    <w:p w:rsidR="00B47F02" w:rsidRDefault="00B47F02" w:rsidP="000A0293">
      <w:pPr>
        <w:pStyle w:val="Default"/>
        <w:spacing w:after="240"/>
        <w:jc w:val="both"/>
        <w:rPr>
          <w:sz w:val="22"/>
          <w:szCs w:val="22"/>
        </w:rPr>
      </w:pPr>
      <w:r w:rsidRPr="00467CB1">
        <w:rPr>
          <w:b/>
          <w:sz w:val="22"/>
          <w:szCs w:val="22"/>
        </w:rPr>
        <w:t>Tel:</w:t>
      </w:r>
      <w:r>
        <w:rPr>
          <w:sz w:val="22"/>
          <w:szCs w:val="22"/>
        </w:rPr>
        <w:t xml:space="preserve"> (995 32) 2 251344; 2 253104; 2 253196 </w:t>
      </w:r>
    </w:p>
    <w:p w:rsidR="00B47F02" w:rsidRDefault="00B47F02" w:rsidP="000A0293">
      <w:pPr>
        <w:pStyle w:val="Default"/>
        <w:spacing w:after="240"/>
        <w:jc w:val="both"/>
        <w:rPr>
          <w:sz w:val="22"/>
          <w:szCs w:val="22"/>
        </w:rPr>
      </w:pPr>
      <w:r w:rsidRPr="00467CB1">
        <w:rPr>
          <w:b/>
          <w:sz w:val="22"/>
          <w:szCs w:val="22"/>
        </w:rPr>
        <w:t>Fax:</w:t>
      </w:r>
      <w:r>
        <w:rPr>
          <w:sz w:val="22"/>
          <w:szCs w:val="22"/>
        </w:rPr>
        <w:t xml:space="preserve"> (995 32) 2 99 55 40 </w:t>
      </w:r>
    </w:p>
    <w:p w:rsidR="00B47F02" w:rsidRDefault="00B47F02" w:rsidP="000A0293">
      <w:pPr>
        <w:pStyle w:val="Default"/>
        <w:spacing w:after="240"/>
        <w:jc w:val="both"/>
        <w:rPr>
          <w:sz w:val="22"/>
          <w:szCs w:val="22"/>
        </w:rPr>
      </w:pPr>
      <w:r w:rsidRPr="00467CB1">
        <w:rPr>
          <w:b/>
          <w:sz w:val="22"/>
          <w:szCs w:val="22"/>
        </w:rPr>
        <w:t>E-mail</w:t>
      </w:r>
      <w:r w:rsidR="00467CB1">
        <w:rPr>
          <w:sz w:val="22"/>
          <w:szCs w:val="22"/>
        </w:rPr>
        <w:t xml:space="preserve">: </w:t>
      </w:r>
      <w:hyperlink r:id="rId23" w:history="1">
        <w:r w:rsidR="00467CB1" w:rsidRPr="003B22D3">
          <w:rPr>
            <w:rStyle w:val="Hyperlink"/>
            <w:sz w:val="22"/>
            <w:szCs w:val="22"/>
          </w:rPr>
          <w:t>internship@curatio.com</w:t>
        </w:r>
      </w:hyperlink>
      <w:r w:rsidR="00467CB1">
        <w:rPr>
          <w:sz w:val="22"/>
          <w:szCs w:val="22"/>
        </w:rPr>
        <w:t xml:space="preserve">; </w:t>
      </w:r>
      <w:hyperlink r:id="rId24" w:history="1">
        <w:r w:rsidR="00467CB1" w:rsidRPr="003B22D3">
          <w:rPr>
            <w:rStyle w:val="Hyperlink"/>
            <w:sz w:val="22"/>
            <w:szCs w:val="22"/>
          </w:rPr>
          <w:t>m.uchaneishvili@curatio.com</w:t>
        </w:r>
      </w:hyperlink>
    </w:p>
    <w:p w:rsidR="00C45FC1" w:rsidRPr="00C45FC1" w:rsidRDefault="00C45FC1" w:rsidP="000A0293">
      <w:pPr>
        <w:pStyle w:val="Default"/>
        <w:spacing w:after="240"/>
        <w:jc w:val="both"/>
        <w:rPr>
          <w:b/>
          <w:sz w:val="22"/>
          <w:szCs w:val="22"/>
        </w:rPr>
      </w:pPr>
      <w:r w:rsidRPr="00C45FC1">
        <w:rPr>
          <w:b/>
          <w:sz w:val="22"/>
          <w:szCs w:val="22"/>
        </w:rPr>
        <w:t>Detailed map:</w:t>
      </w:r>
    </w:p>
    <w:p w:rsidR="00C45FC1" w:rsidRPr="00222A50" w:rsidRDefault="00C45FC1" w:rsidP="000A0293">
      <w:pPr>
        <w:pStyle w:val="Default"/>
        <w:spacing w:after="240"/>
        <w:jc w:val="both"/>
        <w:rPr>
          <w:rFonts w:ascii="Sylfaen" w:hAnsi="Sylfaen"/>
          <w:b/>
          <w:sz w:val="22"/>
          <w:szCs w:val="22"/>
          <w:lang w:val="ka-GE"/>
        </w:rPr>
      </w:pPr>
    </w:p>
    <w:p w:rsidR="00C45FC1" w:rsidRDefault="00C45FC1" w:rsidP="000A0293">
      <w:pPr>
        <w:pStyle w:val="Default"/>
        <w:spacing w:after="240"/>
        <w:jc w:val="both"/>
        <w:rPr>
          <w:sz w:val="22"/>
          <w:szCs w:val="22"/>
        </w:rPr>
      </w:pPr>
    </w:p>
    <w:p w:rsidR="008A5A61" w:rsidRDefault="00B47F02" w:rsidP="000A0293">
      <w:pPr>
        <w:spacing w:before="100" w:beforeAutospacing="1" w:after="100" w:afterAutospacing="1" w:line="240" w:lineRule="auto"/>
        <w:jc w:val="both"/>
        <w:rPr>
          <w:sz w:val="20"/>
          <w:szCs w:val="20"/>
        </w:rPr>
      </w:pPr>
      <w:r>
        <w:rPr>
          <w:b/>
          <w:bCs/>
        </w:rPr>
        <w:t>For the medical emergency visit Medi Club</w:t>
      </w:r>
      <w:r>
        <w:t xml:space="preserve">: </w:t>
      </w:r>
      <w:hyperlink r:id="rId25" w:history="1">
        <w:r>
          <w:rPr>
            <w:color w:val="0000FF"/>
          </w:rPr>
          <w:t>http://biz.aris.ge/en/company/4074/</w:t>
        </w:r>
      </w:hyperlink>
      <w:r w:rsidR="004F43A6">
        <w:rPr>
          <w:sz w:val="20"/>
          <w:szCs w:val="20"/>
        </w:rPr>
        <w:t xml:space="preserve"> </w:t>
      </w:r>
    </w:p>
    <w:p w:rsidR="00B47F02" w:rsidRDefault="00B47F02" w:rsidP="000A0293">
      <w:pPr>
        <w:pStyle w:val="Default"/>
        <w:jc w:val="both"/>
        <w:rPr>
          <w:rFonts w:ascii="Calibri" w:hAnsi="Calibri" w:cs="Calibri"/>
          <w:sz w:val="22"/>
          <w:szCs w:val="22"/>
        </w:rPr>
      </w:pPr>
      <w:r>
        <w:rPr>
          <w:rFonts w:ascii="Calibri" w:hAnsi="Calibri" w:cs="Calibri"/>
          <w:sz w:val="22"/>
          <w:szCs w:val="22"/>
        </w:rPr>
        <w:t xml:space="preserve">For detailed information regarding recommended vaccinations see annex 1 below. </w:t>
      </w:r>
    </w:p>
    <w:p w:rsidR="00B47F02" w:rsidRDefault="00B47F02" w:rsidP="000A0293">
      <w:pPr>
        <w:pStyle w:val="Default"/>
        <w:pageBreakBefore/>
        <w:spacing w:after="240"/>
        <w:jc w:val="both"/>
        <w:rPr>
          <w:rFonts w:ascii="Trebuchet MS" w:hAnsi="Trebuchet MS" w:cs="Trebuchet MS"/>
          <w:sz w:val="36"/>
          <w:szCs w:val="36"/>
        </w:rPr>
      </w:pPr>
      <w:r>
        <w:rPr>
          <w:rFonts w:ascii="Trebuchet MS" w:hAnsi="Trebuchet MS" w:cs="Trebuchet MS"/>
          <w:sz w:val="36"/>
          <w:szCs w:val="36"/>
        </w:rPr>
        <w:lastRenderedPageBreak/>
        <w:t xml:space="preserve">Annex 1: Recommended vaccinations </w:t>
      </w:r>
    </w:p>
    <w:p w:rsidR="00B47F02" w:rsidRDefault="00B47F02" w:rsidP="000A0293">
      <w:pPr>
        <w:pStyle w:val="Default"/>
        <w:spacing w:after="480"/>
        <w:jc w:val="both"/>
        <w:rPr>
          <w:rFonts w:ascii="Verdana" w:hAnsi="Verdana" w:cs="Verdana"/>
          <w:sz w:val="17"/>
          <w:szCs w:val="17"/>
        </w:rPr>
      </w:pPr>
      <w:r>
        <w:rPr>
          <w:rFonts w:ascii="Verdana" w:hAnsi="Verdana" w:cs="Verdana"/>
          <w:b/>
          <w:bCs/>
          <w:sz w:val="17"/>
          <w:szCs w:val="17"/>
        </w:rPr>
        <w:t>Before visiting Georgia, you may need to get the following vaccinations and medications for vaccine-preventable diseases and other diseases you might be at risk for at your destination:</w:t>
      </w:r>
      <w:r>
        <w:rPr>
          <w:rFonts w:ascii="Verdana" w:hAnsi="Verdana" w:cs="Verdana"/>
          <w:sz w:val="17"/>
          <w:szCs w:val="17"/>
        </w:rPr>
        <w:t xml:space="preserve">(Note: Your doctor or health-care provider will determine what you will need, depending on factors such as your health and immunization history, areas of the country you will be visiting, and planned activities.) </w:t>
      </w:r>
    </w:p>
    <w:p w:rsidR="00B47F02" w:rsidRDefault="00B47F02" w:rsidP="000A0293">
      <w:pPr>
        <w:pStyle w:val="Default"/>
        <w:spacing w:after="720"/>
        <w:jc w:val="both"/>
        <w:rPr>
          <w:rFonts w:ascii="Verdana" w:hAnsi="Verdana" w:cs="Verdana"/>
          <w:sz w:val="17"/>
          <w:szCs w:val="17"/>
        </w:rPr>
      </w:pPr>
      <w:r>
        <w:rPr>
          <w:rFonts w:ascii="Verdana" w:hAnsi="Verdana" w:cs="Verdana"/>
          <w:sz w:val="17"/>
          <w:szCs w:val="17"/>
        </w:rPr>
        <w:t xml:space="preserve">To have the most benefit, see a health-care provider at least 4–6 weeks before your trip to allow time for your vaccines to take effect and to start taking medicine to prevent malaria, if you need it. </w:t>
      </w:r>
    </w:p>
    <w:p w:rsidR="00B47F02" w:rsidRDefault="00B47F02" w:rsidP="000A0293">
      <w:pPr>
        <w:spacing w:before="100" w:beforeAutospacing="1" w:after="480" w:line="240" w:lineRule="auto"/>
        <w:jc w:val="both"/>
        <w:rPr>
          <w:rFonts w:ascii="Verdana" w:hAnsi="Verdana" w:cs="Verdana"/>
          <w:sz w:val="17"/>
          <w:szCs w:val="17"/>
        </w:rPr>
      </w:pPr>
      <w:r>
        <w:rPr>
          <w:rFonts w:ascii="Verdana" w:hAnsi="Verdana" w:cs="Verdana"/>
          <w:sz w:val="17"/>
          <w:szCs w:val="17"/>
        </w:rPr>
        <w:t>Even if you have less than 4 weeks before you leave, you should still see a health-care provider for needed vaccines, anti-malaria drugs and other medications and information about how to protect yourself from illness and injury while traveling.</w:t>
      </w:r>
    </w:p>
    <w:p w:rsidR="00B47F02" w:rsidRDefault="00B47F02" w:rsidP="000A0293">
      <w:pPr>
        <w:pStyle w:val="Default"/>
        <w:spacing w:after="480"/>
        <w:jc w:val="both"/>
        <w:rPr>
          <w:rFonts w:ascii="Verdana" w:hAnsi="Verdana" w:cs="Verdana"/>
          <w:sz w:val="18"/>
          <w:szCs w:val="18"/>
        </w:rPr>
      </w:pPr>
      <w:r>
        <w:rPr>
          <w:rFonts w:ascii="Verdana" w:hAnsi="Verdana" w:cs="Verdana"/>
          <w:sz w:val="18"/>
          <w:szCs w:val="18"/>
        </w:rPr>
        <w:t xml:space="preserve">CDC recommends that you see a health-care provider who specializes in Travel Medicine.  </w:t>
      </w:r>
      <w:hyperlink r:id="rId26" w:history="1">
        <w:r>
          <w:rPr>
            <w:rFonts w:ascii="Verdana" w:hAnsi="Verdana" w:cs="Verdana"/>
            <w:color w:val="49006D"/>
            <w:sz w:val="18"/>
            <w:szCs w:val="18"/>
          </w:rPr>
          <w:t>Find a travel medicine clinic</w:t>
        </w:r>
      </w:hyperlink>
      <w:r>
        <w:rPr>
          <w:rFonts w:ascii="Verdana" w:hAnsi="Verdana" w:cs="Verdana"/>
          <w:sz w:val="18"/>
          <w:szCs w:val="18"/>
        </w:rPr>
        <w:t xml:space="preserve"> near you. If you have a medical condition, you should also share your travel plans with any doctors you are currently seeing for other medical reasons. </w:t>
      </w:r>
    </w:p>
    <w:p w:rsidR="00B47F02" w:rsidRDefault="00B47F02" w:rsidP="000A0293">
      <w:pPr>
        <w:pStyle w:val="Default"/>
        <w:spacing w:after="600"/>
        <w:jc w:val="both"/>
        <w:rPr>
          <w:rFonts w:ascii="Verdana" w:hAnsi="Verdana" w:cs="Verdana"/>
          <w:sz w:val="17"/>
          <w:szCs w:val="17"/>
        </w:rPr>
      </w:pPr>
      <w:r>
        <w:rPr>
          <w:rFonts w:ascii="Verdana" w:hAnsi="Verdana" w:cs="Verdana"/>
          <w:sz w:val="17"/>
          <w:szCs w:val="17"/>
        </w:rPr>
        <w:t xml:space="preserve">If your travel plans will take you to more than one country during a single trip, be sure to let your health-care provider know so that you can receive the appropriate vaccinations and information for all of your destinations. Long-term travelers, such as those who plan to work or study abroad, may also need additional vaccinations as required by their employer or school. </w:t>
      </w:r>
    </w:p>
    <w:p w:rsidR="00B47F02" w:rsidRDefault="00B47F02" w:rsidP="000A0293">
      <w:pPr>
        <w:pStyle w:val="Default"/>
        <w:spacing w:after="240"/>
        <w:jc w:val="both"/>
        <w:rPr>
          <w:rFonts w:ascii="Verdana" w:hAnsi="Verdana" w:cs="Verdana"/>
          <w:sz w:val="18"/>
          <w:szCs w:val="18"/>
        </w:rPr>
      </w:pPr>
      <w:r>
        <w:rPr>
          <w:rFonts w:ascii="Verdana" w:hAnsi="Verdana" w:cs="Verdana"/>
          <w:b/>
          <w:bCs/>
          <w:sz w:val="18"/>
          <w:szCs w:val="18"/>
        </w:rPr>
        <w:t>Be sure your routine vaccinations are up-to-date</w:t>
      </w:r>
      <w:r>
        <w:rPr>
          <w:rFonts w:ascii="Verdana" w:hAnsi="Verdana" w:cs="Verdana"/>
          <w:sz w:val="18"/>
          <w:szCs w:val="18"/>
        </w:rPr>
        <w:t>.</w:t>
      </w:r>
      <w:r>
        <w:rPr>
          <w:rFonts w:ascii="Verdana" w:hAnsi="Verdana" w:cs="Verdana"/>
          <w:b/>
          <w:bCs/>
          <w:sz w:val="18"/>
          <w:szCs w:val="18"/>
        </w:rPr>
        <w:t xml:space="preserve"> Check the links below to see which vaccinations adults and children should get.</w:t>
      </w:r>
      <w:r>
        <w:rPr>
          <w:rFonts w:ascii="Verdana" w:hAnsi="Verdana" w:cs="Verdana"/>
          <w:sz w:val="18"/>
          <w:szCs w:val="18"/>
        </w:rPr>
        <w:t xml:space="preserve"> </w:t>
      </w:r>
    </w:p>
    <w:p w:rsidR="00B47F02" w:rsidRDefault="00B47F02" w:rsidP="000A0293">
      <w:pPr>
        <w:pStyle w:val="Default"/>
        <w:spacing w:after="480"/>
        <w:jc w:val="both"/>
        <w:rPr>
          <w:rFonts w:ascii="Verdana" w:hAnsi="Verdana" w:cs="Verdana"/>
          <w:sz w:val="17"/>
          <w:szCs w:val="17"/>
        </w:rPr>
      </w:pPr>
      <w:r>
        <w:rPr>
          <w:rFonts w:ascii="Verdana" w:hAnsi="Verdana" w:cs="Verdana"/>
          <w:b/>
          <w:bCs/>
          <w:sz w:val="17"/>
          <w:szCs w:val="17"/>
        </w:rPr>
        <w:t>Routine vaccines</w:t>
      </w:r>
      <w:r>
        <w:rPr>
          <w:rFonts w:ascii="Verdana" w:hAnsi="Verdana" w:cs="Verdana"/>
          <w:sz w:val="18"/>
          <w:szCs w:val="18"/>
        </w:rPr>
        <w:t xml:space="preserve">, as they are often called, such as for influenza, chickenpox (or varicella), polio, measles/mumps/rubella (MMR), and diphtheria/pertussis/tetanus (DPT) are given at all stages of </w:t>
      </w:r>
      <w:r>
        <w:rPr>
          <w:rFonts w:ascii="Verdana" w:hAnsi="Verdana" w:cs="Verdana"/>
          <w:sz w:val="17"/>
          <w:szCs w:val="17"/>
        </w:rPr>
        <w:t xml:space="preserve">life; see the </w:t>
      </w:r>
      <w:hyperlink r:id="rId27" w:history="1">
        <w:r>
          <w:rPr>
            <w:rFonts w:ascii="Verdana" w:hAnsi="Verdana" w:cs="Verdana"/>
            <w:color w:val="49006D"/>
            <w:sz w:val="18"/>
            <w:szCs w:val="18"/>
          </w:rPr>
          <w:t>childhood and adolescent immunization schedule</w:t>
        </w:r>
      </w:hyperlink>
      <w:r>
        <w:rPr>
          <w:rFonts w:ascii="Verdana" w:hAnsi="Verdana" w:cs="Verdana"/>
          <w:sz w:val="17"/>
          <w:szCs w:val="17"/>
        </w:rPr>
        <w:t xml:space="preserve"> and </w:t>
      </w:r>
      <w:hyperlink r:id="rId28" w:history="1">
        <w:r>
          <w:rPr>
            <w:rFonts w:ascii="Verdana" w:hAnsi="Verdana" w:cs="Verdana"/>
            <w:color w:val="49006D"/>
            <w:sz w:val="18"/>
            <w:szCs w:val="18"/>
          </w:rPr>
          <w:t>routine adult immunization schedule</w:t>
        </w:r>
      </w:hyperlink>
      <w:r>
        <w:rPr>
          <w:rFonts w:ascii="Verdana" w:hAnsi="Verdana" w:cs="Verdana"/>
          <w:sz w:val="17"/>
          <w:szCs w:val="17"/>
        </w:rPr>
        <w:t xml:space="preserve">. </w:t>
      </w:r>
    </w:p>
    <w:p w:rsidR="00B47F02" w:rsidRDefault="00B47F02" w:rsidP="000A0293">
      <w:pPr>
        <w:pStyle w:val="Default"/>
        <w:jc w:val="both"/>
        <w:rPr>
          <w:rFonts w:ascii="Verdana" w:hAnsi="Verdana" w:cs="Verdana"/>
          <w:sz w:val="18"/>
          <w:szCs w:val="18"/>
        </w:rPr>
      </w:pPr>
      <w:r>
        <w:rPr>
          <w:rFonts w:ascii="Verdana" w:hAnsi="Verdana" w:cs="Verdana"/>
          <w:sz w:val="18"/>
          <w:szCs w:val="18"/>
        </w:rPr>
        <w:t xml:space="preserve">Routine vaccines are recommended even if you do not travel. Although childhood diseases, such as measles, rarely occur in the United States, they are still common in many parts of the world. A traveler who is not vaccinated would be at risk for infection. </w:t>
      </w:r>
    </w:p>
    <w:p w:rsidR="00B47F02" w:rsidRDefault="00B47F02" w:rsidP="000A0293">
      <w:pPr>
        <w:pStyle w:val="Default"/>
        <w:jc w:val="both"/>
        <w:rPr>
          <w:rFonts w:ascii="Verdana" w:hAnsi="Verdana" w:cs="Verdana"/>
          <w:sz w:val="18"/>
          <w:szCs w:val="18"/>
        </w:rPr>
      </w:pPr>
    </w:p>
    <w:p w:rsidR="00B47F02" w:rsidRDefault="00B47F02" w:rsidP="000A0293">
      <w:pPr>
        <w:pStyle w:val="Default"/>
        <w:jc w:val="both"/>
        <w:rPr>
          <w:rFonts w:ascii="Verdana" w:hAnsi="Verdana" w:cs="Verdana"/>
          <w:sz w:val="18"/>
          <w:szCs w:val="18"/>
        </w:rPr>
      </w:pPr>
    </w:p>
    <w:p w:rsidR="00B47F02" w:rsidRDefault="00B47F02" w:rsidP="000A0293">
      <w:pPr>
        <w:pStyle w:val="Default"/>
        <w:jc w:val="both"/>
        <w:rPr>
          <w:rFonts w:ascii="Verdana" w:hAnsi="Verdana" w:cs="Verdana"/>
          <w:sz w:val="18"/>
          <w:szCs w:val="18"/>
        </w:rPr>
      </w:pPr>
    </w:p>
    <w:p w:rsidR="00B47F02" w:rsidRDefault="00B47F02" w:rsidP="000A0293">
      <w:pPr>
        <w:pStyle w:val="Default"/>
        <w:jc w:val="both"/>
        <w:rPr>
          <w:rFonts w:ascii="Verdana" w:hAnsi="Verdana" w:cs="Verdana"/>
          <w:sz w:val="18"/>
          <w:szCs w:val="18"/>
        </w:rPr>
      </w:pPr>
    </w:p>
    <w:p w:rsidR="00B47F02" w:rsidRDefault="00B47F02" w:rsidP="000A0293">
      <w:pPr>
        <w:pStyle w:val="Default"/>
        <w:jc w:val="both"/>
        <w:rPr>
          <w:rFonts w:ascii="Verdana" w:hAnsi="Verdana" w:cs="Verdana"/>
          <w:sz w:val="18"/>
          <w:szCs w:val="18"/>
        </w:rPr>
      </w:pPr>
    </w:p>
    <w:p w:rsidR="00B47F02" w:rsidRDefault="00B47F02" w:rsidP="000A0293">
      <w:pPr>
        <w:pStyle w:val="Default"/>
        <w:jc w:val="both"/>
        <w:rPr>
          <w:rFonts w:ascii="Verdana" w:hAnsi="Verdana" w:cs="Verdana"/>
          <w:sz w:val="18"/>
          <w:szCs w:val="18"/>
        </w:rPr>
      </w:pPr>
    </w:p>
    <w:p w:rsidR="00B47F02" w:rsidRDefault="00B47F02" w:rsidP="000A0293">
      <w:pPr>
        <w:pStyle w:val="Default"/>
        <w:jc w:val="both"/>
        <w:rPr>
          <w:rFonts w:ascii="Verdana" w:hAnsi="Verdana" w:cs="Verdana"/>
          <w:sz w:val="18"/>
          <w:szCs w:val="18"/>
        </w:rPr>
      </w:pPr>
    </w:p>
    <w:p w:rsidR="00B47F02" w:rsidRDefault="00B47F02" w:rsidP="000A0293">
      <w:pPr>
        <w:pStyle w:val="Default"/>
        <w:jc w:val="both"/>
        <w:rPr>
          <w:rFonts w:ascii="Verdana" w:hAnsi="Verdana" w:cs="Verdana"/>
          <w:sz w:val="18"/>
          <w:szCs w:val="18"/>
        </w:rPr>
      </w:pPr>
    </w:p>
    <w:p w:rsidR="00B47F02" w:rsidRDefault="00B47F02" w:rsidP="000A0293">
      <w:pPr>
        <w:pStyle w:val="Default"/>
        <w:jc w:val="both"/>
        <w:rPr>
          <w:rFonts w:ascii="Verdana" w:hAnsi="Verdana" w:cs="Verdana"/>
          <w:sz w:val="18"/>
          <w:szCs w:val="18"/>
        </w:rPr>
      </w:pPr>
    </w:p>
    <w:p w:rsidR="00B47F02" w:rsidRDefault="00B47F02" w:rsidP="000A0293">
      <w:pPr>
        <w:pStyle w:val="Default"/>
        <w:jc w:val="both"/>
        <w:rPr>
          <w:rFonts w:ascii="Verdana" w:hAnsi="Verdana" w:cs="Verdana"/>
          <w:sz w:val="18"/>
          <w:szCs w:val="18"/>
        </w:rPr>
      </w:pPr>
    </w:p>
    <w:p w:rsidR="00B47F02" w:rsidRDefault="00B47F02" w:rsidP="000A0293">
      <w:pPr>
        <w:pStyle w:val="Default"/>
        <w:jc w:val="both"/>
        <w:rPr>
          <w:rFonts w:ascii="Verdana" w:hAnsi="Verdana" w:cs="Verdana"/>
          <w:sz w:val="18"/>
          <w:szCs w:val="18"/>
        </w:rPr>
      </w:pPr>
    </w:p>
    <w:p w:rsidR="00B47F02" w:rsidRDefault="00B47F02" w:rsidP="000A0293">
      <w:pPr>
        <w:pStyle w:val="Default"/>
        <w:jc w:val="both"/>
        <w:rPr>
          <w:rFonts w:ascii="Verdana" w:hAnsi="Verdana" w:cs="Verdana"/>
          <w:sz w:val="18"/>
          <w:szCs w:val="18"/>
        </w:rPr>
      </w:pPr>
    </w:p>
    <w:p w:rsidR="00B47F02" w:rsidRDefault="00B47F02" w:rsidP="000A0293">
      <w:pPr>
        <w:pStyle w:val="Default"/>
        <w:jc w:val="both"/>
        <w:rPr>
          <w:rFonts w:ascii="Verdana" w:hAnsi="Verdana" w:cs="Verdana"/>
          <w:sz w:val="18"/>
          <w:szCs w:val="18"/>
        </w:rPr>
      </w:pPr>
    </w:p>
    <w:p w:rsidR="00B47F02" w:rsidRDefault="00B47F02" w:rsidP="000A0293">
      <w:pPr>
        <w:pStyle w:val="Default"/>
        <w:jc w:val="both"/>
        <w:rPr>
          <w:rFonts w:ascii="Verdana" w:hAnsi="Verdana" w:cs="Verdana"/>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746"/>
        <w:gridCol w:w="4746"/>
      </w:tblGrid>
      <w:tr w:rsidR="00B47F02" w:rsidTr="00B47F02">
        <w:trPr>
          <w:trHeight w:val="509"/>
        </w:trPr>
        <w:tc>
          <w:tcPr>
            <w:tcW w:w="4746" w:type="dxa"/>
          </w:tcPr>
          <w:p w:rsidR="00B47F02" w:rsidRDefault="00B47F02" w:rsidP="000A0293">
            <w:pPr>
              <w:pStyle w:val="Default"/>
              <w:jc w:val="both"/>
            </w:pPr>
          </w:p>
          <w:p w:rsidR="00B47F02" w:rsidRDefault="00B47F02" w:rsidP="000A0293">
            <w:pPr>
              <w:pStyle w:val="Default"/>
              <w:jc w:val="both"/>
              <w:rPr>
                <w:rFonts w:ascii="Verdana" w:hAnsi="Verdana" w:cs="Verdana"/>
                <w:sz w:val="17"/>
                <w:szCs w:val="17"/>
              </w:rPr>
            </w:pPr>
            <w:r>
              <w:rPr>
                <w:rFonts w:ascii="Verdana" w:hAnsi="Verdana" w:cs="Verdana"/>
                <w:b/>
                <w:bCs/>
                <w:sz w:val="17"/>
                <w:szCs w:val="17"/>
              </w:rPr>
              <w:t xml:space="preserve">vaccination or Disease </w:t>
            </w:r>
          </w:p>
        </w:tc>
        <w:tc>
          <w:tcPr>
            <w:tcW w:w="4746" w:type="dxa"/>
          </w:tcPr>
          <w:p w:rsidR="00B47F02" w:rsidRDefault="00B47F02" w:rsidP="000A0293">
            <w:pPr>
              <w:pStyle w:val="Default"/>
              <w:jc w:val="both"/>
            </w:pPr>
          </w:p>
          <w:p w:rsidR="00B47F02" w:rsidRDefault="00B47F02" w:rsidP="000A0293">
            <w:pPr>
              <w:pStyle w:val="Default"/>
              <w:jc w:val="both"/>
              <w:rPr>
                <w:rFonts w:ascii="Verdana" w:hAnsi="Verdana" w:cs="Verdana"/>
                <w:sz w:val="17"/>
                <w:szCs w:val="17"/>
              </w:rPr>
            </w:pPr>
            <w:r>
              <w:rPr>
                <w:rFonts w:ascii="Verdana" w:hAnsi="Verdana" w:cs="Verdana"/>
                <w:b/>
                <w:bCs/>
                <w:sz w:val="17"/>
                <w:szCs w:val="17"/>
              </w:rPr>
              <w:t xml:space="preserve">Recommendations or Requirements for Vaccine-Preventable Diseases </w:t>
            </w:r>
          </w:p>
        </w:tc>
      </w:tr>
      <w:tr w:rsidR="00B47F02" w:rsidTr="00B47F02">
        <w:trPr>
          <w:trHeight w:val="1188"/>
        </w:trPr>
        <w:tc>
          <w:tcPr>
            <w:tcW w:w="4746" w:type="dxa"/>
          </w:tcPr>
          <w:p w:rsidR="00B47F02" w:rsidRDefault="00B47F02" w:rsidP="000A0293">
            <w:pPr>
              <w:pStyle w:val="Default"/>
              <w:jc w:val="both"/>
            </w:pPr>
          </w:p>
          <w:p w:rsidR="00B47F02" w:rsidRDefault="002C1655" w:rsidP="000A0293">
            <w:pPr>
              <w:pStyle w:val="Default"/>
              <w:jc w:val="both"/>
              <w:rPr>
                <w:rFonts w:ascii="Verdana" w:hAnsi="Verdana" w:cs="Verdana"/>
                <w:sz w:val="17"/>
                <w:szCs w:val="17"/>
              </w:rPr>
            </w:pPr>
            <w:hyperlink r:id="rId29" w:history="1">
              <w:r w:rsidR="00B47F02">
                <w:rPr>
                  <w:rFonts w:ascii="Verdana" w:hAnsi="Verdana" w:cs="Verdana"/>
                  <w:color w:val="49006D"/>
                  <w:sz w:val="17"/>
                  <w:szCs w:val="17"/>
                </w:rPr>
                <w:t>Routine</w:t>
              </w:r>
            </w:hyperlink>
            <w:r w:rsidR="00B47F02">
              <w:rPr>
                <w:rFonts w:ascii="Verdana" w:hAnsi="Verdana" w:cs="Verdana"/>
                <w:sz w:val="17"/>
                <w:szCs w:val="17"/>
              </w:rPr>
              <w:t xml:space="preserve">  </w:t>
            </w:r>
          </w:p>
        </w:tc>
        <w:tc>
          <w:tcPr>
            <w:tcW w:w="4746" w:type="dxa"/>
          </w:tcPr>
          <w:p w:rsidR="00B47F02" w:rsidRDefault="00B47F02" w:rsidP="000A0293">
            <w:pPr>
              <w:pStyle w:val="Default"/>
              <w:jc w:val="both"/>
            </w:pPr>
          </w:p>
          <w:p w:rsidR="00B47F02" w:rsidRDefault="00B47F02" w:rsidP="000A0293">
            <w:pPr>
              <w:pStyle w:val="Default"/>
              <w:jc w:val="both"/>
              <w:rPr>
                <w:rFonts w:ascii="Verdana" w:hAnsi="Verdana" w:cs="Verdana"/>
                <w:sz w:val="17"/>
                <w:szCs w:val="17"/>
              </w:rPr>
            </w:pPr>
            <w:r>
              <w:rPr>
                <w:rFonts w:ascii="Verdana" w:hAnsi="Verdana" w:cs="Verdana"/>
                <w:sz w:val="17"/>
                <w:szCs w:val="17"/>
              </w:rPr>
              <w:t xml:space="preserve">Recommended if you are not up-to-date with routine shots, such as measles/mumps/rubella (MMR) vaccine, diphtheria/pertussis/tetanus (DPT) vaccine, poliovirus vaccine, etc. </w:t>
            </w:r>
          </w:p>
        </w:tc>
      </w:tr>
      <w:tr w:rsidR="00B47F02" w:rsidTr="00B47F02">
        <w:trPr>
          <w:trHeight w:val="1537"/>
        </w:trPr>
        <w:tc>
          <w:tcPr>
            <w:tcW w:w="4746" w:type="dxa"/>
          </w:tcPr>
          <w:p w:rsidR="00B47F02" w:rsidRDefault="00B47F02" w:rsidP="000A0293">
            <w:pPr>
              <w:pStyle w:val="Default"/>
              <w:jc w:val="both"/>
            </w:pPr>
          </w:p>
          <w:p w:rsidR="00B47F02" w:rsidRDefault="002C1655" w:rsidP="000A0293">
            <w:pPr>
              <w:pStyle w:val="Default"/>
              <w:jc w:val="both"/>
              <w:rPr>
                <w:rFonts w:ascii="Verdana" w:hAnsi="Verdana" w:cs="Verdana"/>
                <w:sz w:val="17"/>
                <w:szCs w:val="17"/>
              </w:rPr>
            </w:pPr>
            <w:hyperlink r:id="rId30" w:history="1">
              <w:r w:rsidR="00B47F02">
                <w:rPr>
                  <w:rFonts w:ascii="Verdana" w:hAnsi="Verdana" w:cs="Verdana"/>
                  <w:color w:val="49006D"/>
                  <w:sz w:val="17"/>
                  <w:szCs w:val="17"/>
                </w:rPr>
                <w:t>Hepatitis A</w:t>
              </w:r>
            </w:hyperlink>
            <w:r w:rsidR="00B47F02">
              <w:rPr>
                <w:rFonts w:ascii="Verdana" w:hAnsi="Verdana" w:cs="Verdana"/>
                <w:sz w:val="17"/>
                <w:szCs w:val="17"/>
              </w:rPr>
              <w:t xml:space="preserve"> or immune globulin (IG) </w:t>
            </w:r>
          </w:p>
        </w:tc>
        <w:tc>
          <w:tcPr>
            <w:tcW w:w="4746" w:type="dxa"/>
          </w:tcPr>
          <w:p w:rsidR="00B47F02" w:rsidRDefault="00B47F02" w:rsidP="000A0293">
            <w:pPr>
              <w:pStyle w:val="Default"/>
              <w:jc w:val="both"/>
            </w:pPr>
          </w:p>
          <w:p w:rsidR="00B47F02" w:rsidRDefault="00B47F02" w:rsidP="000A0293">
            <w:pPr>
              <w:pStyle w:val="Default"/>
              <w:jc w:val="both"/>
              <w:rPr>
                <w:rFonts w:ascii="Verdana" w:hAnsi="Verdana" w:cs="Verdana"/>
                <w:sz w:val="17"/>
                <w:szCs w:val="17"/>
              </w:rPr>
            </w:pPr>
            <w:r>
              <w:rPr>
                <w:rFonts w:ascii="Verdana" w:hAnsi="Verdana" w:cs="Verdana"/>
                <w:sz w:val="17"/>
                <w:szCs w:val="17"/>
              </w:rPr>
              <w:t>Recommended for all unvaccinated people traveling to or working in countries with an intermediate or high level of hepatitis A virus infection (</w:t>
            </w:r>
            <w:hyperlink r:id="rId31" w:anchor="2394" w:history="1">
              <w:r>
                <w:rPr>
                  <w:rFonts w:ascii="Verdana" w:hAnsi="Verdana" w:cs="Verdana"/>
                  <w:color w:val="49006D"/>
                  <w:sz w:val="17"/>
                  <w:szCs w:val="17"/>
                </w:rPr>
                <w:t>see map</w:t>
              </w:r>
            </w:hyperlink>
            <w:r>
              <w:rPr>
                <w:rFonts w:ascii="Verdana" w:hAnsi="Verdana" w:cs="Verdana"/>
                <w:sz w:val="17"/>
                <w:szCs w:val="17"/>
              </w:rPr>
              <w:t xml:space="preserve">) where exposure might occur through food or water. Cases of travel-related hepatitis A can also occur in travelers to developing countries with "standard" tourist itineraries, accommodations, and food consumption behaviors. </w:t>
            </w:r>
          </w:p>
        </w:tc>
      </w:tr>
      <w:tr w:rsidR="00B47F02" w:rsidTr="00B47F02">
        <w:trPr>
          <w:trHeight w:val="1258"/>
        </w:trPr>
        <w:tc>
          <w:tcPr>
            <w:tcW w:w="4746" w:type="dxa"/>
          </w:tcPr>
          <w:p w:rsidR="00B47F02" w:rsidRDefault="00B47F02" w:rsidP="000A0293">
            <w:pPr>
              <w:pStyle w:val="Default"/>
              <w:jc w:val="both"/>
            </w:pPr>
          </w:p>
          <w:p w:rsidR="00B47F02" w:rsidRDefault="002C1655" w:rsidP="000A0293">
            <w:pPr>
              <w:pStyle w:val="Default"/>
              <w:jc w:val="both"/>
              <w:rPr>
                <w:rFonts w:ascii="Verdana" w:hAnsi="Verdana" w:cs="Verdana"/>
                <w:sz w:val="17"/>
                <w:szCs w:val="17"/>
              </w:rPr>
            </w:pPr>
            <w:hyperlink r:id="rId32" w:history="1">
              <w:r w:rsidR="00B47F02">
                <w:rPr>
                  <w:rFonts w:ascii="Verdana" w:hAnsi="Verdana" w:cs="Verdana"/>
                  <w:color w:val="49006D"/>
                  <w:sz w:val="17"/>
                  <w:szCs w:val="17"/>
                </w:rPr>
                <w:t>Hepatitis B</w:t>
              </w:r>
            </w:hyperlink>
            <w:r w:rsidR="00B47F02">
              <w:rPr>
                <w:rFonts w:ascii="Verdana" w:hAnsi="Verdana" w:cs="Verdana"/>
                <w:sz w:val="17"/>
                <w:szCs w:val="17"/>
              </w:rPr>
              <w:t xml:space="preserve">  </w:t>
            </w:r>
          </w:p>
        </w:tc>
        <w:tc>
          <w:tcPr>
            <w:tcW w:w="4746" w:type="dxa"/>
          </w:tcPr>
          <w:p w:rsidR="00B47F02" w:rsidRDefault="00B47F02" w:rsidP="000A0293">
            <w:pPr>
              <w:pStyle w:val="Default"/>
              <w:jc w:val="both"/>
            </w:pPr>
          </w:p>
          <w:p w:rsidR="00B47F02" w:rsidRDefault="00B47F02" w:rsidP="000A0293">
            <w:pPr>
              <w:pStyle w:val="Default"/>
              <w:jc w:val="both"/>
              <w:rPr>
                <w:rFonts w:ascii="Verdana" w:hAnsi="Verdana" w:cs="Verdana"/>
                <w:sz w:val="17"/>
                <w:szCs w:val="17"/>
              </w:rPr>
            </w:pPr>
            <w:r>
              <w:rPr>
                <w:rFonts w:ascii="Verdana" w:hAnsi="Verdana" w:cs="Verdana"/>
                <w:sz w:val="17"/>
                <w:szCs w:val="17"/>
              </w:rPr>
              <w:t>Recommended for all unvaccinated persons traveling to or working in countries with intermediate to high levels of endemic HBV transmission (</w:t>
            </w:r>
            <w:hyperlink r:id="rId33" w:anchor="2403" w:history="1">
              <w:r>
                <w:rPr>
                  <w:rFonts w:ascii="Verdana" w:hAnsi="Verdana" w:cs="Verdana"/>
                  <w:color w:val="49006D"/>
                  <w:sz w:val="17"/>
                  <w:szCs w:val="17"/>
                </w:rPr>
                <w:t>see map</w:t>
              </w:r>
            </w:hyperlink>
            <w:r>
              <w:rPr>
                <w:rFonts w:ascii="Verdana" w:hAnsi="Verdana" w:cs="Verdana"/>
                <w:sz w:val="17"/>
                <w:szCs w:val="17"/>
              </w:rPr>
              <w:t xml:space="preserve">), especially those who might be exposed to blood or body fluids, have sexual contact with the local population, or be exposed through medical treatment (e.g., for an accident). </w:t>
            </w:r>
          </w:p>
        </w:tc>
      </w:tr>
      <w:tr w:rsidR="00B47F02" w:rsidTr="00B47F02">
        <w:trPr>
          <w:trHeight w:val="1468"/>
        </w:trPr>
        <w:tc>
          <w:tcPr>
            <w:tcW w:w="4746" w:type="dxa"/>
          </w:tcPr>
          <w:p w:rsidR="00B47F02" w:rsidRDefault="00B47F02" w:rsidP="000A0293">
            <w:pPr>
              <w:pStyle w:val="Default"/>
              <w:jc w:val="both"/>
            </w:pPr>
          </w:p>
          <w:p w:rsidR="00B47F02" w:rsidRDefault="002C1655" w:rsidP="000A0293">
            <w:pPr>
              <w:pStyle w:val="Default"/>
              <w:jc w:val="both"/>
              <w:rPr>
                <w:rFonts w:ascii="Verdana" w:hAnsi="Verdana" w:cs="Verdana"/>
                <w:sz w:val="17"/>
                <w:szCs w:val="17"/>
              </w:rPr>
            </w:pPr>
            <w:hyperlink r:id="rId34" w:history="1">
              <w:r w:rsidR="00B47F02">
                <w:rPr>
                  <w:rFonts w:ascii="Verdana" w:hAnsi="Verdana" w:cs="Verdana"/>
                  <w:color w:val="49006D"/>
                  <w:sz w:val="17"/>
                  <w:szCs w:val="17"/>
                </w:rPr>
                <w:t>Polio</w:t>
              </w:r>
            </w:hyperlink>
            <w:r w:rsidR="00B47F02">
              <w:rPr>
                <w:rFonts w:ascii="Verdana" w:hAnsi="Verdana" w:cs="Verdana"/>
                <w:sz w:val="17"/>
                <w:szCs w:val="17"/>
              </w:rPr>
              <w:t xml:space="preserve">  </w:t>
            </w:r>
          </w:p>
        </w:tc>
        <w:tc>
          <w:tcPr>
            <w:tcW w:w="4746" w:type="dxa"/>
          </w:tcPr>
          <w:p w:rsidR="00B47F02" w:rsidRDefault="00B47F02" w:rsidP="000A0293">
            <w:pPr>
              <w:pStyle w:val="Default"/>
              <w:jc w:val="both"/>
            </w:pPr>
          </w:p>
          <w:p w:rsidR="00B47F02" w:rsidRDefault="00B47F02" w:rsidP="000A0293">
            <w:pPr>
              <w:pStyle w:val="Default"/>
              <w:jc w:val="both"/>
              <w:rPr>
                <w:rFonts w:ascii="Verdana" w:hAnsi="Verdana" w:cs="Verdana"/>
                <w:sz w:val="17"/>
                <w:szCs w:val="17"/>
              </w:rPr>
            </w:pPr>
            <w:r>
              <w:rPr>
                <w:rFonts w:ascii="Verdana" w:hAnsi="Verdana" w:cs="Verdana"/>
                <w:sz w:val="17"/>
                <w:szCs w:val="17"/>
              </w:rPr>
              <w:t xml:space="preserve">Recommended for adult travelers who have received a primary series with either inactivated poliovirus vaccine (IPV) or oral polio vaccine (OPV). They should receive another dose of IPV before departure. For adults, available data do not indicate the need for more than a single lifetime booster dose with IPV. </w:t>
            </w:r>
          </w:p>
        </w:tc>
      </w:tr>
      <w:tr w:rsidR="00B47F02" w:rsidTr="00B47F02">
        <w:trPr>
          <w:trHeight w:val="3066"/>
        </w:trPr>
        <w:tc>
          <w:tcPr>
            <w:tcW w:w="4746" w:type="dxa"/>
          </w:tcPr>
          <w:p w:rsidR="00B47F02" w:rsidRDefault="00B47F02" w:rsidP="000A0293">
            <w:pPr>
              <w:pStyle w:val="Default"/>
              <w:jc w:val="both"/>
            </w:pPr>
          </w:p>
          <w:p w:rsidR="00B47F02" w:rsidRDefault="002C1655" w:rsidP="000A0293">
            <w:pPr>
              <w:pStyle w:val="Default"/>
              <w:jc w:val="both"/>
              <w:rPr>
                <w:rFonts w:ascii="Verdana" w:hAnsi="Verdana" w:cs="Verdana"/>
                <w:sz w:val="17"/>
                <w:szCs w:val="17"/>
              </w:rPr>
            </w:pPr>
            <w:hyperlink r:id="rId35" w:history="1">
              <w:r w:rsidR="00B47F02">
                <w:rPr>
                  <w:rFonts w:ascii="Verdana" w:hAnsi="Verdana" w:cs="Verdana"/>
                  <w:color w:val="49006D"/>
                  <w:sz w:val="17"/>
                  <w:szCs w:val="17"/>
                </w:rPr>
                <w:t>Rabies</w:t>
              </w:r>
            </w:hyperlink>
            <w:r w:rsidR="00B47F02">
              <w:rPr>
                <w:rFonts w:ascii="Verdana" w:hAnsi="Verdana" w:cs="Verdana"/>
                <w:sz w:val="17"/>
                <w:szCs w:val="17"/>
              </w:rPr>
              <w:t xml:space="preserve">  </w:t>
            </w:r>
          </w:p>
        </w:tc>
        <w:tc>
          <w:tcPr>
            <w:tcW w:w="4746" w:type="dxa"/>
          </w:tcPr>
          <w:p w:rsidR="00B47F02" w:rsidRDefault="00B47F02" w:rsidP="000A0293">
            <w:pPr>
              <w:pStyle w:val="Default"/>
              <w:jc w:val="both"/>
            </w:pPr>
          </w:p>
          <w:p w:rsidR="00B47F02" w:rsidRDefault="00B47F02" w:rsidP="000A0293">
            <w:pPr>
              <w:pStyle w:val="Default"/>
              <w:jc w:val="both"/>
              <w:rPr>
                <w:rFonts w:ascii="Verdana" w:hAnsi="Verdana" w:cs="Verdana"/>
                <w:sz w:val="17"/>
                <w:szCs w:val="17"/>
              </w:rPr>
            </w:pPr>
            <w:r>
              <w:rPr>
                <w:rFonts w:ascii="Verdana" w:hAnsi="Verdana" w:cs="Verdana"/>
                <w:sz w:val="17"/>
                <w:szCs w:val="17"/>
              </w:rPr>
              <w:t xml:space="preserve">Recommended for travelers spending a lot of time outdoors, especially in rural areas, involved in activities such as bicycling, camping, or hiking. Also recommended for travelers with significant occupational risks (such as veterinarians), for long-term travelers and expatriates living in areas with a significant risk of exposure, and for travelers involved in any activities that might bring them into direct contact with bats, carnivores, and other mammals. Children are considered at higher risk because they tend to play with animals, may receive more severe bites, or may not report bites.  </w:t>
            </w:r>
          </w:p>
        </w:tc>
      </w:tr>
    </w:tbl>
    <w:p w:rsidR="00B47F02" w:rsidRPr="00B47F02" w:rsidRDefault="00B47F02" w:rsidP="000A0293">
      <w:pPr>
        <w:spacing w:before="100" w:beforeAutospacing="1" w:after="100" w:afterAutospacing="1" w:line="240" w:lineRule="auto"/>
        <w:jc w:val="both"/>
        <w:rPr>
          <w:rFonts w:ascii="Cambria" w:hAnsi="Cambria" w:cs="Cambria"/>
          <w:color w:val="000000"/>
        </w:rPr>
      </w:pPr>
    </w:p>
    <w:sectPr w:rsidR="00B47F02" w:rsidRPr="00B47F02">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55" w:rsidRDefault="002C1655" w:rsidP="00B47F02">
      <w:pPr>
        <w:spacing w:after="0" w:line="240" w:lineRule="auto"/>
      </w:pPr>
      <w:r>
        <w:separator/>
      </w:r>
    </w:p>
  </w:endnote>
  <w:endnote w:type="continuationSeparator" w:id="0">
    <w:p w:rsidR="002C1655" w:rsidRDefault="002C1655" w:rsidP="00B4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C1" w:rsidRPr="00C45FC1" w:rsidRDefault="00C45FC1" w:rsidP="00C45FC1">
    <w:pPr>
      <w:pStyle w:val="Footer"/>
      <w:jc w:val="right"/>
      <w:rPr>
        <w:sz w:val="24"/>
      </w:rPr>
    </w:pPr>
    <w:r w:rsidRPr="00C45FC1">
      <w:rPr>
        <w:sz w:val="24"/>
      </w:rPr>
      <w:t>Curatio International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55" w:rsidRDefault="002C1655" w:rsidP="00B47F02">
      <w:pPr>
        <w:spacing w:after="0" w:line="240" w:lineRule="auto"/>
      </w:pPr>
      <w:r>
        <w:separator/>
      </w:r>
    </w:p>
  </w:footnote>
  <w:footnote w:type="continuationSeparator" w:id="0">
    <w:p w:rsidR="002C1655" w:rsidRDefault="002C1655" w:rsidP="00B47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02" w:rsidRPr="00B47F02" w:rsidRDefault="00B47F02">
    <w:pPr>
      <w:pStyle w:val="Header"/>
      <w:rPr>
        <w:sz w:val="40"/>
      </w:rPr>
    </w:pPr>
    <w:r w:rsidRPr="00B47F02">
      <w:rPr>
        <w:sz w:val="40"/>
      </w:rPr>
      <w:t>Logistical Note</w:t>
    </w:r>
  </w:p>
  <w:p w:rsidR="00B47F02" w:rsidRDefault="00B47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41FED"/>
    <w:multiLevelType w:val="multilevel"/>
    <w:tmpl w:val="0F5CA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37"/>
    <w:rsid w:val="000A0293"/>
    <w:rsid w:val="00222A50"/>
    <w:rsid w:val="002705F6"/>
    <w:rsid w:val="002C1655"/>
    <w:rsid w:val="002D68A7"/>
    <w:rsid w:val="00327514"/>
    <w:rsid w:val="00467CB1"/>
    <w:rsid w:val="004A5227"/>
    <w:rsid w:val="004F08F6"/>
    <w:rsid w:val="004F43A6"/>
    <w:rsid w:val="00597296"/>
    <w:rsid w:val="006049AD"/>
    <w:rsid w:val="00701376"/>
    <w:rsid w:val="008A5A61"/>
    <w:rsid w:val="00AA5737"/>
    <w:rsid w:val="00B378D0"/>
    <w:rsid w:val="00B47F02"/>
    <w:rsid w:val="00BB61B7"/>
    <w:rsid w:val="00C45FC1"/>
    <w:rsid w:val="00E663D7"/>
    <w:rsid w:val="00FA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737"/>
    <w:pPr>
      <w:widowControl w:val="0"/>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597296"/>
    <w:rPr>
      <w:color w:val="0000FF" w:themeColor="hyperlink"/>
      <w:u w:val="single"/>
    </w:rPr>
  </w:style>
  <w:style w:type="paragraph" w:styleId="Header">
    <w:name w:val="header"/>
    <w:basedOn w:val="Normal"/>
    <w:link w:val="HeaderChar"/>
    <w:uiPriority w:val="99"/>
    <w:unhideWhenUsed/>
    <w:rsid w:val="00B4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02"/>
    <w:rPr>
      <w:rFonts w:eastAsiaTheme="minorEastAsia"/>
    </w:rPr>
  </w:style>
  <w:style w:type="paragraph" w:styleId="Footer">
    <w:name w:val="footer"/>
    <w:basedOn w:val="Normal"/>
    <w:link w:val="FooterChar"/>
    <w:uiPriority w:val="99"/>
    <w:unhideWhenUsed/>
    <w:rsid w:val="00B4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02"/>
    <w:rPr>
      <w:rFonts w:eastAsiaTheme="minorEastAsia"/>
    </w:rPr>
  </w:style>
  <w:style w:type="paragraph" w:styleId="BalloonText">
    <w:name w:val="Balloon Text"/>
    <w:basedOn w:val="Normal"/>
    <w:link w:val="BalloonTextChar"/>
    <w:uiPriority w:val="99"/>
    <w:semiHidden/>
    <w:unhideWhenUsed/>
    <w:rsid w:val="00C4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FC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737"/>
    <w:pPr>
      <w:widowControl w:val="0"/>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597296"/>
    <w:rPr>
      <w:color w:val="0000FF" w:themeColor="hyperlink"/>
      <w:u w:val="single"/>
    </w:rPr>
  </w:style>
  <w:style w:type="paragraph" w:styleId="Header">
    <w:name w:val="header"/>
    <w:basedOn w:val="Normal"/>
    <w:link w:val="HeaderChar"/>
    <w:uiPriority w:val="99"/>
    <w:unhideWhenUsed/>
    <w:rsid w:val="00B4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02"/>
    <w:rPr>
      <w:rFonts w:eastAsiaTheme="minorEastAsia"/>
    </w:rPr>
  </w:style>
  <w:style w:type="paragraph" w:styleId="Footer">
    <w:name w:val="footer"/>
    <w:basedOn w:val="Normal"/>
    <w:link w:val="FooterChar"/>
    <w:uiPriority w:val="99"/>
    <w:unhideWhenUsed/>
    <w:rsid w:val="00B4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02"/>
    <w:rPr>
      <w:rFonts w:eastAsiaTheme="minorEastAsia"/>
    </w:rPr>
  </w:style>
  <w:style w:type="paragraph" w:styleId="BalloonText">
    <w:name w:val="Balloon Text"/>
    <w:basedOn w:val="Normal"/>
    <w:link w:val="BalloonTextChar"/>
    <w:uiPriority w:val="99"/>
    <w:semiHidden/>
    <w:unhideWhenUsed/>
    <w:rsid w:val="00C4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FC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bcbank.com.ge/en/" TargetMode="External"/><Relationship Id="rId18" Type="http://schemas.openxmlformats.org/officeDocument/2006/relationships/hyperlink" Target="http://www.rentals.ge/view.php?page=1&amp;search_id=78rx2nhwo2wb2la67ij9gz8bw&amp;order=Update_Date&amp;desc=1" TargetMode="External"/><Relationship Id="rId26" Type="http://schemas.openxmlformats.org/officeDocument/2006/relationships/hyperlink" Target="http://wwwn.cdc.gov/travel/page/find-clinic.htm" TargetMode="External"/><Relationship Id="rId39" Type="http://schemas.openxmlformats.org/officeDocument/2006/relationships/theme" Target="theme/theme1.xml"/><Relationship Id="rId21" Type="http://schemas.openxmlformats.org/officeDocument/2006/relationships/hyperlink" Target="https://www.facebook.com/DarcheeHostel/info" TargetMode="External"/><Relationship Id="rId34" Type="http://schemas.openxmlformats.org/officeDocument/2006/relationships/hyperlink" Target="http://wwwnc.cdc.gov/travel/yellowbook/2012/chapter-3-infectious-diseases-related-to-travel/poliomyelitis.htm" TargetMode="External"/><Relationship Id="rId7" Type="http://schemas.openxmlformats.org/officeDocument/2006/relationships/footnotes" Target="footnotes.xml"/><Relationship Id="rId12" Type="http://schemas.openxmlformats.org/officeDocument/2006/relationships/hyperlink" Target="http://www.beeline.ge/" TargetMode="External"/><Relationship Id="rId17" Type="http://schemas.openxmlformats.org/officeDocument/2006/relationships/image" Target="media/image2.jpg"/><Relationship Id="rId25" Type="http://schemas.openxmlformats.org/officeDocument/2006/relationships/hyperlink" Target="http://biz.aris.ge/en/company/4074/" TargetMode="External"/><Relationship Id="rId33" Type="http://schemas.openxmlformats.org/officeDocument/2006/relationships/hyperlink" Target="http://wwwnc.cdc.gov/travel/yellowbook/2012/chapter-3-infectious-diseases-related-to-travel/hepatitis-b.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tbilisihotels.bookonline2save.com/" TargetMode="External"/><Relationship Id="rId29" Type="http://schemas.openxmlformats.org/officeDocument/2006/relationships/hyperlink" Target="http://www.cdc.gov/vaccines/recs/schedules/defaul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tigsm.com/" TargetMode="External"/><Relationship Id="rId24" Type="http://schemas.openxmlformats.org/officeDocument/2006/relationships/hyperlink" Target="mailto:m.uchaneishvili@curatio.com" TargetMode="External"/><Relationship Id="rId32" Type="http://schemas.openxmlformats.org/officeDocument/2006/relationships/hyperlink" Target="http://wwwnc.cdc.gov/travel/yellowbook/2012/chapter-3-infectious-diseases-related-to-travel/hepatitis-b.htm"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public.ge/index.php?lang_id=ENG&amp;sec_id=173" TargetMode="External"/><Relationship Id="rId23" Type="http://schemas.openxmlformats.org/officeDocument/2006/relationships/hyperlink" Target="mailto:internship@curatio.com" TargetMode="External"/><Relationship Id="rId28" Type="http://schemas.openxmlformats.org/officeDocument/2006/relationships/hyperlink" Target="http://www.cdc.gov/vaccines/recs/schedules/adult-schedule.htm" TargetMode="External"/><Relationship Id="rId36" Type="http://schemas.openxmlformats.org/officeDocument/2006/relationships/header" Target="header1.xml"/><Relationship Id="rId10" Type="http://schemas.openxmlformats.org/officeDocument/2006/relationships/hyperlink" Target="http://www.geocell.com.ge/" TargetMode="External"/><Relationship Id="rId19" Type="http://schemas.openxmlformats.org/officeDocument/2006/relationships/hyperlink" Target="http://place.ge/ge" TargetMode="External"/><Relationship Id="rId31" Type="http://schemas.openxmlformats.org/officeDocument/2006/relationships/hyperlink" Target="http://wwwnc.cdc.gov/travel/yellowbook/2012/chapter-3-infectious-diseases-related-to-travel/hepatitis-a.htm" TargetMode="External"/><Relationship Id="rId4" Type="http://schemas.microsoft.com/office/2007/relationships/stylesWithEffects" Target="stylesWithEffects.xml"/><Relationship Id="rId9" Type="http://schemas.openxmlformats.org/officeDocument/2006/relationships/hyperlink" Target="http://www.mfa.gov.ge/index.php?lang_id=ENG&amp;sec_id=1" TargetMode="External"/><Relationship Id="rId14" Type="http://schemas.openxmlformats.org/officeDocument/2006/relationships/hyperlink" Target="http://bankofgeorgia.ge/en/information/locations/branches-and-atms" TargetMode="External"/><Relationship Id="rId22" Type="http://schemas.openxmlformats.org/officeDocument/2006/relationships/hyperlink" Target="http://www.guide-georgia.ge/ARGO%20PALACE%20HOTEL%20IN%20TBILISI" TargetMode="External"/><Relationship Id="rId27" Type="http://schemas.openxmlformats.org/officeDocument/2006/relationships/hyperlink" Target="http://www.cdc.gov/vaccines/recs/schedules/child-schedule.htm" TargetMode="External"/><Relationship Id="rId30" Type="http://schemas.openxmlformats.org/officeDocument/2006/relationships/hyperlink" Target="http://wwwnc.cdc.gov/travel/yellowbook/2012/chapter-3-infectious-diseases-related-to-travel/hepatitis-a.htm" TargetMode="External"/><Relationship Id="rId35" Type="http://schemas.openxmlformats.org/officeDocument/2006/relationships/hyperlink" Target="http://wwwnc.cdc.gov/travel/yellowbook/2012/chapter-3-infectious-diseases-related-to-travel/rabies.htm"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960CC23-80BA-43A8-B54C-62881BD1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Natiarazmadze</dc:creator>
  <cp:lastModifiedBy>RePack by Diakov</cp:lastModifiedBy>
  <cp:revision>5</cp:revision>
  <dcterms:created xsi:type="dcterms:W3CDTF">2014-09-11T06:11:00Z</dcterms:created>
  <dcterms:modified xsi:type="dcterms:W3CDTF">2015-10-07T08:59:00Z</dcterms:modified>
</cp:coreProperties>
</file>